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800"/>
      </w:pPr>
      <w:r>
        <w:rPr>
          <w:b/>
          <w:bCs/>
          <w:sz w:val="56"/>
          <w:szCs w:val="56"/>
        </w:rPr>
        <w:t xml:space="preserve">Muster-KI-Richtlinie</w:t>
      </w:r>
    </w:p>
    <w:p>
      <w:pPr>
        <w:spacing w:after="480"/>
      </w:pPr>
      <w:r>
        <w:rPr>
          <w:color w:val="5A6470"/>
          <w:sz w:val="32"/>
          <w:szCs w:val="32"/>
        </w:rPr>
        <w:t xml:space="preserve">für Gemeinden in Österreich</w:t>
      </w:r>
    </w:p>
    <w:p>
      <w:pPr>
        <w:spacing w:after="120" w:line="300"/>
      </w:pPr>
      <w:r>
        <w:t xml:space="preserve">Dienstanweisung zum Einsatz von Künstlicher Intelligenz im Gemeindeamt, mit Ampel-Kurzfassung zum Aushängen, Werkzeugliste, Bestätigung für Mitarbeitende und Muster-Amtsvortrag.</w:t>
      </w:r>
    </w:p>
    <w:p>
      <w:pPr>
        <w:spacing w:after="3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98B3" w:sz="18"/>
              <w:bottom w:val="none" w:color="FFFFFF" w:sz="0"/>
              <w:right w:val="none" w:color="FFFFFF" w:sz="0"/>
            </w:tcBorders>
            <w:shd w:fill="EAF6F9" w:color="auto" w:val="clear"/>
            <w:tcMar>
              <w:top w:type="dxa" w:w="120"/>
              <w:left w:type="dxa" w:w="200"/>
              <w:bottom w:type="dxa" w:w="120"/>
              <w:right w:type="dxa" w:w="200"/>
            </w:tcMar>
          </w:tcPr>
          <w:p>
            <w:pPr>
              <w:spacing w:after="60"/>
            </w:pPr>
            <w:r>
              <w:rPr>
                <w:b/>
                <w:bCs/>
              </w:rPr>
              <w:t xml:space="preserve">So verwenden Sie diese Vorlage</w:t>
            </w:r>
          </w:p>
          <w:p>
            <w:pPr>
              <w:spacing w:after="60" w:line="280"/>
            </w:pPr>
            <w:r>
              <w:t xml:space="preserve">Gelb markierte Stellen durch die Angaben Ihrer Gemeinde ersetzen. Nicht Zutreffendes streichen.</w:t>
            </w:r>
          </w:p>
          <w:p>
            <w:pPr>
              <w:spacing w:after="60" w:line="280"/>
            </w:pPr>
            <w:r>
              <w:t xml:space="preserve">Die Richtlinie ist bewusst praxisnah gehalten: Sie regelt, was im Amtsalltag erlaubt ist, was nicht, und wer wofür zuständig ist.</w:t>
            </w:r>
          </w:p>
          <w:p>
            <w:pPr>
              <w:spacing w:after="60" w:line="280"/>
            </w:pPr>
            <w:r>
              <w:t xml:space="preserve">Rechtsstand Oktober 2026 (EU-KI-Verordnung, DSGVO, Informationsfreiheitsgesetz). Die Vorlage ersetzt keine Rechtsberatung im Einzelfall. Die Zuständigkeit für den Erlass (Bürgermeister als Dienstvorgesetzter oder Gemeinderat) richtet sich nach der jeweiligen Gemeindeordnung.</w:t>
            </w:r>
          </w:p>
        </w:tc>
      </w:tr>
    </w:tbl>
    <w:p>
      <w:pPr>
        <w:spacing w:after="600"/>
      </w:pPr>
      <w:r>
        <w:t xml:space="preserve"/>
      </w:r>
    </w:p>
    <w:p>
      <w:pPr>
        <w:spacing w:after="20"/>
      </w:pPr>
      <w:r>
        <w:rPr>
          <w:b/>
          <w:bCs/>
        </w:rPr>
        <w:t xml:space="preserve">Silop – Silent Operations</w:t>
      </w:r>
    </w:p>
    <w:p>
      <w:pPr>
        <w:spacing w:after="120" w:line="300"/>
      </w:pPr>
      <w:r>
        <w:rPr>
          <w:color w:val="5A6470"/>
          <w:sz w:val="18"/>
          <w:szCs w:val="18"/>
        </w:rPr>
        <w:t xml:space="preserve">Mario Amandus Aistleitner, BA MBA · Marktgasse 7/26, 8720 Knittelfeld · office@silop.at · silop.at</w:t>
      </w:r>
    </w:p>
    <w:p>
      <w:pPr>
        <w:spacing w:after="120" w:line="300"/>
      </w:pPr>
      <w:r>
        <w:rPr>
          <w:color w:val="5A6470"/>
          <w:sz w:val="18"/>
          <w:szCs w:val="18"/>
        </w:rPr>
        <w:t xml:space="preserve">Lizenz: Nutzung und Anpassung für eine Gemeinde bzw. einen Gemeindeverband. Weitergabe an Dritte nur mit Zustimmung.</w:t>
      </w:r>
    </w:p>
    <w:p>
      <w:r>
        <w:br w:type="page"/>
      </w:r>
    </w:p>
    <w:p>
      <w:pPr>
        <w:pStyle w:val="Heading1"/>
        <w:spacing w:after="200" w:before="120"/>
      </w:pPr>
      <w:r>
        <w:rPr>
          <w:b/>
          <w:bCs/>
          <w:color w:val="111111"/>
          <w:sz w:val="32"/>
          <w:szCs w:val="32"/>
        </w:rPr>
        <w:t xml:space="preserve">Dienstanweisung zum Einsatz von Künstlicher Intelligenz</w:t>
      </w:r>
    </w:p>
    <w:p>
      <w:pPr>
        <w:spacing w:after="120" w:line="300"/>
      </w:pPr>
      <w:r>
        <w:t xml:space="preserve">der </w:t>
      </w:r>
      <w:r>
        <w:rPr>
          <w:highlight w:val="yellow"/>
        </w:rPr>
        <w:t xml:space="preserve">[Markt-/Stadtgemeinde Name]</w:t>
      </w:r>
      <w:r>
        <w:t xml:space="preserve">, erlassen am </w:t>
      </w:r>
      <w:r>
        <w:rPr>
          <w:highlight w:val="yellow"/>
        </w:rPr>
        <w:t xml:space="preserve">[Datum]</w:t>
      </w:r>
      <w:r>
        <w:t xml:space="preserve"> von </w:t>
      </w:r>
      <w:r>
        <w:rPr>
          <w:highlight w:val="yellow"/>
        </w:rPr>
        <w:t xml:space="preserve">[Bürgermeister/in Name]</w:t>
      </w:r>
      <w:r>
        <w:t xml:space="preserve">.</w:t>
      </w:r>
    </w:p>
    <w:p>
      <w:pPr>
        <w:pStyle w:val="Heading2"/>
        <w:keepNext/>
        <w:spacing w:after="120" w:before="280"/>
      </w:pPr>
      <w:r>
        <w:rPr>
          <w:b/>
          <w:bCs/>
          <w:color w:val="0098B3"/>
          <w:sz w:val="24"/>
          <w:szCs w:val="24"/>
        </w:rPr>
        <w:t xml:space="preserve">1. Zweck</w:t>
      </w:r>
    </w:p>
    <w:p>
      <w:pPr>
        <w:spacing w:after="120" w:line="300"/>
      </w:pPr>
      <w:r>
        <w:t xml:space="preserve">Künstliche Intelligenz (KI) kann die Arbeit im Gemeindeamt erleichtern: beim Formulieren, Zusammenfassen, Übersetzen, Recherchieren oder Ordnen. Gleichzeitig gelten für die Verwaltung besondere Pflichten zu Datenschutz, Verschwiegenheit und Rechtsrichtigkeit. Diese Dienstanweisung legt fest, wie KI im Gemeindeamt sicher, rechtskonform und mit Hausverstand eingesetzt wird.</w:t>
      </w:r>
    </w:p>
    <w:p>
      <w:pPr>
        <w:pStyle w:val="Heading2"/>
        <w:keepNext/>
        <w:spacing w:after="120" w:before="280"/>
      </w:pPr>
      <w:r>
        <w:rPr>
          <w:b/>
          <w:bCs/>
          <w:color w:val="0098B3"/>
          <w:sz w:val="24"/>
          <w:szCs w:val="24"/>
        </w:rPr>
        <w:t xml:space="preserve">2. Geltungsbereich</w:t>
      </w:r>
    </w:p>
    <w:p>
      <w:pPr>
        <w:pStyle w:val="ListParagraph"/>
        <w:numPr>
          <w:ilvl w:val="0"/>
          <w:numId w:val="2"/>
        </w:numPr>
        <w:spacing w:after="80" w:line="300"/>
      </w:pPr>
      <w:r>
        <w:t xml:space="preserve">Diese Dienstanweisung gilt für alle Bediensteten der Gemeinde, einschließlich ausgegliederter Einrichtungen </w:t>
      </w:r>
      <w:r>
        <w:rPr>
          <w:highlight w:val="yellow"/>
        </w:rPr>
        <w:t xml:space="preserve">[z. B. Bauhof, Kindergarten, Wirtschaftshof]</w:t>
      </w:r>
      <w:r>
        <w:t xml:space="preserve">, sowie für Mandatarinnen und Mandatare, soweit sie Gemeindegeräte oder Gemeindedaten nutzen.</w:t>
      </w:r>
    </w:p>
    <w:p>
      <w:pPr>
        <w:pStyle w:val="ListParagraph"/>
        <w:numPr>
          <w:ilvl w:val="0"/>
          <w:numId w:val="2"/>
        </w:numPr>
        <w:spacing w:after="80" w:line="300"/>
      </w:pPr>
      <w:r>
        <w:t xml:space="preserve">Sie gilt für alle KI-Werkzeuge, egal ob auf Dienstgeräten, privaten Geräten mit dienstlichem Bezug, im Browser, als App oder als Funktion in bestehender Software.</w:t>
      </w:r>
    </w:p>
    <w:p>
      <w:pPr>
        <w:pStyle w:val="Heading2"/>
        <w:keepNext/>
        <w:spacing w:after="120" w:before="280"/>
      </w:pPr>
      <w:r>
        <w:rPr>
          <w:b/>
          <w:bCs/>
          <w:color w:val="0098B3"/>
          <w:sz w:val="24"/>
          <w:szCs w:val="24"/>
        </w:rPr>
        <w:t xml:space="preserve">3. Begriffe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blHeader/>
        </w:trPr>
        <w:tc>
          <w:tcPr>
            <w:tcW w:type="dxa" w:w="26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Begriff</w:t>
            </w:r>
          </w:p>
        </w:tc>
        <w:tc>
          <w:tcPr>
            <w:tcW w:type="dxa" w:w="6426"/>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Bedeutung in dieser Dienstanweisung</w:t>
            </w:r>
          </w:p>
        </w:tc>
      </w:tr>
      <w:tr>
        <w:trPr>
          <w:cantSplit/>
          <w:tblHeader w:val="off"/>
        </w:trPr>
        <w:tc>
          <w:tcPr>
            <w:tcW w:type="dxa" w:w="26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KI-Werkzeug</w:t>
            </w:r>
          </w:p>
        </w:tc>
        <w:tc>
          <w:tcPr>
            <w:tcW w:type="dxa" w:w="64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Programm oder Dienst, der mit Künstlicher Intelligenz Texte, Bilder, Audio oder Auswertungen erzeugt, z. B. Chat-Assistenten, Übersetzer, Transkription, Schreibhilfen in Bürosoftware.</w:t>
            </w:r>
          </w:p>
        </w:tc>
      </w:tr>
      <w:tr>
        <w:trPr>
          <w:cantSplit/>
          <w:tblHeader w:val="off"/>
        </w:trPr>
        <w:tc>
          <w:tcPr>
            <w:tcW w:type="dxa" w:w="26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Freigegebenes Werkzeug</w:t>
            </w:r>
          </w:p>
        </w:tc>
        <w:tc>
          <w:tcPr>
            <w:tcW w:type="dxa" w:w="64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KI-Werkzeug, das in Anhang 1 eingetragen und für eine bestimmte Datenstufe zugelassen ist.</w:t>
            </w:r>
          </w:p>
        </w:tc>
      </w:tr>
      <w:tr>
        <w:trPr>
          <w:cantSplit/>
          <w:tblHeader w:val="off"/>
        </w:trPr>
        <w:tc>
          <w:tcPr>
            <w:tcW w:type="dxa" w:w="26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Personenbezogene Daten</w:t>
            </w:r>
          </w:p>
        </w:tc>
        <w:tc>
          <w:tcPr>
            <w:tcW w:type="dxa" w:w="64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Alle Angaben zu einer bestimmten oder bestimmbaren Person (Name, Adresse, Geburtsdatum, Aktenzahl mit Personenbezug, Fotos, Stimme usw.).</w:t>
            </w:r>
          </w:p>
        </w:tc>
      </w:tr>
      <w:tr>
        <w:trPr>
          <w:cantSplit/>
          <w:tblHeader w:val="off"/>
        </w:trPr>
        <w:tc>
          <w:tcPr>
            <w:tcW w:type="dxa" w:w="26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Datenstufen</w:t>
            </w:r>
          </w:p>
        </w:tc>
        <w:tc>
          <w:tcPr>
            <w:tcW w:type="dxa" w:w="64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Grün, Gelb, Rot nach Punkt 5 (Ampel).</w:t>
            </w:r>
          </w:p>
        </w:tc>
      </w:tr>
    </w:tbl>
    <w:p>
      <w:pPr>
        <w:pStyle w:val="Heading2"/>
        <w:keepNext/>
        <w:spacing w:after="120" w:before="280"/>
      </w:pPr>
      <w:r>
        <w:rPr>
          <w:b/>
          <w:bCs/>
          <w:color w:val="0098B3"/>
          <w:sz w:val="24"/>
          <w:szCs w:val="24"/>
        </w:rPr>
        <w:t xml:space="preserve">4. Grundsätze</w:t>
      </w:r>
    </w:p>
    <w:p>
      <w:pPr>
        <w:pStyle w:val="ListParagraph"/>
        <w:numPr>
          <w:ilvl w:val="0"/>
          <w:numId w:val="3"/>
        </w:numPr>
        <w:spacing w:after="80" w:line="300"/>
      </w:pPr>
      <w:r>
        <w:rPr>
          <w:b/>
          <w:bCs/>
        </w:rPr>
        <w:t xml:space="preserve">Der Mensch entscheidet. </w:t>
      </w:r>
      <w:r>
        <w:t xml:space="preserve">KI bereitet vor, Bedienstete prüfen und entscheiden. Bescheide, Erledigungen und Entscheidungen werden nie ungeprüft aus einem KI-Werkzeug übernommen.</w:t>
      </w:r>
    </w:p>
    <w:p>
      <w:pPr>
        <w:pStyle w:val="ListParagraph"/>
        <w:numPr>
          <w:ilvl w:val="0"/>
          <w:numId w:val="3"/>
        </w:numPr>
        <w:spacing w:after="80" w:line="300"/>
      </w:pPr>
      <w:r>
        <w:rPr>
          <w:b/>
          <w:bCs/>
        </w:rPr>
        <w:t xml:space="preserve">Verantwortung bleibt. </w:t>
      </w:r>
      <w:r>
        <w:t xml:space="preserve">Wer ein KI-Ergebnis verwendet, ist für dessen Richtigkeit verantwortlich wie für eine eigene Arbeit.</w:t>
      </w:r>
    </w:p>
    <w:p>
      <w:pPr>
        <w:pStyle w:val="ListParagraph"/>
        <w:numPr>
          <w:ilvl w:val="0"/>
          <w:numId w:val="3"/>
        </w:numPr>
        <w:spacing w:after="80" w:line="300"/>
      </w:pPr>
      <w:r>
        <w:rPr>
          <w:b/>
          <w:bCs/>
        </w:rPr>
        <w:t xml:space="preserve">Daten schützen. </w:t>
      </w:r>
      <w:r>
        <w:t xml:space="preserve">Es dürfen nur die Daten in ein KI-Werkzeug eingegeben werden, die nach der Ampel (Punkt 5) für dieses Werkzeug zugelassen sind.</w:t>
      </w:r>
    </w:p>
    <w:p>
      <w:pPr>
        <w:pStyle w:val="ListParagraph"/>
        <w:numPr>
          <w:ilvl w:val="0"/>
          <w:numId w:val="3"/>
        </w:numPr>
        <w:spacing w:after="80" w:line="300"/>
      </w:pPr>
      <w:r>
        <w:rPr>
          <w:b/>
          <w:bCs/>
        </w:rPr>
        <w:t xml:space="preserve">Verschwiegenheit gilt auch hier. </w:t>
      </w:r>
      <w:r>
        <w:t xml:space="preserve">Gesetzliche Verschwiegenheits- und Geheimhaltungspflichten, insbesondere nach dem Dienstrecht und dem Informationsfreiheitsgesetz, gelten uneingeschränkt auch beim Einsatz von KI.</w:t>
      </w:r>
    </w:p>
    <w:p>
      <w:pPr>
        <w:pStyle w:val="ListParagraph"/>
        <w:numPr>
          <w:ilvl w:val="0"/>
          <w:numId w:val="3"/>
        </w:numPr>
        <w:spacing w:after="80" w:line="300"/>
      </w:pPr>
      <w:r>
        <w:rPr>
          <w:b/>
          <w:bCs/>
        </w:rPr>
        <w:t xml:space="preserve">Ehrlich kennzeichnen. </w:t>
      </w:r>
      <w:r>
        <w:t xml:space="preserve">Wo die Öffentlichkeit mit KI in Kontakt kommt oder KI-erzeugte Inhalte veröffentlicht werden, wird das offengelegt (Punkt 8).</w:t>
      </w:r>
    </w:p>
    <w:p>
      <w:pPr>
        <w:pStyle w:val="Heading2"/>
        <w:keepNext/>
        <w:spacing w:after="120" w:before="280"/>
      </w:pPr>
      <w:r>
        <w:rPr>
          <w:b/>
          <w:bCs/>
          <w:color w:val="0098B3"/>
          <w:sz w:val="24"/>
          <w:szCs w:val="24"/>
        </w:rPr>
        <w:t xml:space="preserve">5. Die Ampel: Welche Daten dürfen wohin?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3900"/>
        <w:gridCol w:w="3826"/>
      </w:tblGrid>
      <w:tr>
        <w:trPr>
          <w:cantSplit/>
          <w:tblHeader/>
        </w:trPr>
        <w:tc>
          <w:tcPr>
            <w:tcW w:type="dxa" w:w="13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Stufe</w:t>
            </w:r>
          </w:p>
        </w:tc>
        <w:tc>
          <w:tcPr>
            <w:tcW w:type="dxa" w:w="39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Welche Daten</w:t>
            </w:r>
          </w:p>
        </w:tc>
        <w:tc>
          <w:tcPr>
            <w:tcW w:type="dxa" w:w="3826"/>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Erlaubt</w:t>
            </w:r>
          </w:p>
        </w:tc>
      </w:tr>
      <w:tr>
        <w:trPr>
          <w:cantSplit/>
          <w:tblHeader w:val="off"/>
        </w:trPr>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bCs/>
                <w:color w:val="1E8E5A"/>
              </w:rPr>
              <w:t xml:space="preserve">GRÜN</w:t>
            </w:r>
          </w:p>
        </w:tc>
        <w:tc>
          <w:tcPr>
            <w:tcW w:type="dxa" w:w="39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Öffentliche Informationen ohne Personenbezug: Kundmachungen, Gemeindezeitung, veröffentlichte Beschlüsse, allgemeine Fachfragen, eigene Textentwürfe ohne Namen.</w:t>
            </w:r>
          </w:p>
        </w:tc>
        <w:tc>
          <w:tcPr>
            <w:tcW w:type="dxa" w:w="38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Alle Werkzeuge aus Anhang 1.</w:t>
            </w:r>
          </w:p>
        </w:tc>
      </w:tr>
      <w:tr>
        <w:trPr>
          <w:cantSplit/>
          <w:tblHeader w:val="off"/>
        </w:trPr>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bCs/>
                <w:color w:val="B7791F"/>
              </w:rPr>
              <w:t xml:space="preserve">GELB</w:t>
            </w:r>
          </w:p>
        </w:tc>
        <w:tc>
          <w:tcPr>
            <w:tcW w:type="dxa" w:w="39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Interne Informationen ohne Personenbezug: Entwürfe von Richtlinien, interne Abläufe, anonymisierte Zahlen, Ausschreibungsentwürfe ohne Bieterdaten.</w:t>
            </w:r>
          </w:p>
        </w:tc>
        <w:tc>
          <w:tcPr>
            <w:tcW w:type="dxa" w:w="38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Nur Werkzeuge aus Anhang 1 mit Vermerk „Gelb“: Verarbeitung in der EU, Auftragsverarbeitungsvertrag, kein Training mit Eingaben.</w:t>
            </w:r>
          </w:p>
        </w:tc>
      </w:tr>
      <w:tr>
        <w:trPr>
          <w:cantSplit/>
          <w:tblHeader w:val="off"/>
        </w:trPr>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bCs/>
                <w:color w:val="C53030"/>
              </w:rPr>
              <w:t xml:space="preserve">ROT</w:t>
            </w:r>
          </w:p>
        </w:tc>
        <w:tc>
          <w:tcPr>
            <w:tcW w:type="dxa" w:w="39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Personenbezogene Daten und alles Vertrauliche: Namen, Adressen, Melde-, Abgaben-, Sozial-, Gesundheitsdaten, Akten von Verfahren, Personalakten, Daten aus nicht öffentlichen Sitzungen, Sicherheitsinformationen.</w:t>
            </w:r>
          </w:p>
        </w:tc>
        <w:tc>
          <w:tcPr>
            <w:tcW w:type="dxa" w:w="38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Nicht in externe KI-Dienste. Nur in ausdrücklich freigegebene lokale bzw. gemeindeeigene Systeme mit Vermerk „Rot“, nach Prüfung durch Datenschutz.</w:t>
            </w:r>
          </w:p>
        </w:tc>
      </w:tr>
    </w:tbl>
    <w:p>
      <w:pPr>
        <w:spacing w:after="120" w:line="300"/>
      </w:pPr>
      <w:r>
        <w:t xml:space="preserve"/>
      </w:r>
    </w:p>
    <w:p>
      <w:pPr>
        <w:spacing w:after="120" w:line="300"/>
      </w:pPr>
      <w:r>
        <w:rPr>
          <w:b/>
          <w:bCs/>
        </w:rPr>
        <w:t xml:space="preserve">Im Zweifel gilt die strengere Stufe. </w:t>
      </w:r>
      <w:r>
        <w:t xml:space="preserve">Wer unsicher ist, fragt vorher die KI-Ansprechperson (Punkt 12). Personenbezogene Daten können oft vorher entfernt werden: „Herr M. aus der K-Gasse“ wird zu „ein Antragsteller“.</w:t>
      </w:r>
    </w:p>
    <w:p>
      <w:pPr>
        <w:pStyle w:val="Heading2"/>
        <w:keepNext/>
        <w:spacing w:after="120" w:before="280"/>
      </w:pPr>
      <w:r>
        <w:rPr>
          <w:b/>
          <w:bCs/>
          <w:color w:val="0098B3"/>
          <w:sz w:val="24"/>
          <w:szCs w:val="24"/>
        </w:rPr>
        <w:t xml:space="preserve">6. Was nicht erlaubt ist</w:t>
      </w:r>
    </w:p>
    <w:p>
      <w:pPr>
        <w:pStyle w:val="ListParagraph"/>
        <w:numPr>
          <w:ilvl w:val="0"/>
          <w:numId w:val="4"/>
        </w:numPr>
        <w:spacing w:after="60" w:line="290"/>
      </w:pPr>
      <w:r>
        <w:t xml:space="preserve">KI-Ergebnisse ungeprüft als Bescheid, Erledigung, Auskunft oder Veröffentlichung verwenden.</w:t>
      </w:r>
    </w:p>
    <w:p>
      <w:pPr>
        <w:pStyle w:val="ListParagraph"/>
        <w:numPr>
          <w:ilvl w:val="0"/>
          <w:numId w:val="4"/>
        </w:numPr>
        <w:spacing w:after="60" w:line="290"/>
      </w:pPr>
      <w:r>
        <w:t xml:space="preserve">Entscheidungen über Personen allein durch KI treffen lassen, etwa über Anträge, Förderungen, Bewerbungen oder Leistungen (Art. 22 DSGVO).</w:t>
      </w:r>
    </w:p>
    <w:p>
      <w:pPr>
        <w:pStyle w:val="ListParagraph"/>
        <w:numPr>
          <w:ilvl w:val="0"/>
          <w:numId w:val="4"/>
        </w:numPr>
        <w:spacing w:after="60" w:line="290"/>
      </w:pPr>
      <w:r>
        <w:t xml:space="preserve">KI zur Bewertung oder Überwachung von Bediensteten, Bürgerinnen oder Bürgern einsetzen, etwa zur Emotionserkennung oder Verhaltensbewertung (verbotene Praktiken nach Art. 5 KI-Verordnung).</w:t>
      </w:r>
    </w:p>
    <w:p>
      <w:pPr>
        <w:pStyle w:val="ListParagraph"/>
        <w:numPr>
          <w:ilvl w:val="0"/>
          <w:numId w:val="4"/>
        </w:numPr>
        <w:spacing w:after="60" w:line="290"/>
      </w:pPr>
      <w:r>
        <w:t xml:space="preserve">Nicht freigegebene KI-Werkzeuge oder private Konten für dienstliche Inhalte der Stufen Gelb und Rot nutzen.</w:t>
      </w:r>
    </w:p>
    <w:p>
      <w:pPr>
        <w:pStyle w:val="ListParagraph"/>
        <w:numPr>
          <w:ilvl w:val="0"/>
          <w:numId w:val="4"/>
        </w:numPr>
        <w:spacing w:after="60" w:line="290"/>
      </w:pPr>
      <w:r>
        <w:t xml:space="preserve">Zugangsdaten, Passwörter oder Sicherheitsinformationen in KI-Werkzeuge eingeben.</w:t>
      </w:r>
    </w:p>
    <w:p>
      <w:pPr>
        <w:pStyle w:val="ListParagraph"/>
        <w:numPr>
          <w:ilvl w:val="0"/>
          <w:numId w:val="4"/>
        </w:numPr>
        <w:spacing w:after="60" w:line="290"/>
      </w:pPr>
      <w:r>
        <w:t xml:space="preserve">Täuschend echte Bilder, Stimmen oder Videos von realen Personen erzeugen.</w:t>
      </w:r>
    </w:p>
    <w:p>
      <w:pPr>
        <w:pStyle w:val="Heading2"/>
        <w:keepNext/>
        <w:spacing w:after="120" w:before="280"/>
      </w:pPr>
      <w:r>
        <w:rPr>
          <w:b/>
          <w:bCs/>
          <w:color w:val="0098B3"/>
          <w:sz w:val="24"/>
          <w:szCs w:val="24"/>
        </w:rPr>
        <w:t xml:space="preserve">7. Qualität sichern</w:t>
      </w:r>
    </w:p>
    <w:p>
      <w:pPr>
        <w:pStyle w:val="ListParagraph"/>
        <w:numPr>
          <w:ilvl w:val="0"/>
          <w:numId w:val="5"/>
        </w:numPr>
        <w:spacing w:after="80" w:line="300"/>
      </w:pPr>
      <w:r>
        <w:t xml:space="preserve">KI-Ergebnisse können überzeugend klingen und trotzdem falsch sein. Fakten, Zahlen, Rechtsgrundlagen und Zitate werden vor der Verwendung an der Quelle geprüft.</w:t>
      </w:r>
    </w:p>
    <w:p>
      <w:pPr>
        <w:pStyle w:val="ListParagraph"/>
        <w:numPr>
          <w:ilvl w:val="0"/>
          <w:numId w:val="5"/>
        </w:numPr>
        <w:spacing w:after="80" w:line="300"/>
      </w:pPr>
      <w:r>
        <w:t xml:space="preserve">Rechtsauskünfte und Fristen werden nie allein auf Basis eines KI-Ergebnisses erteilt.</w:t>
      </w:r>
    </w:p>
    <w:p>
      <w:pPr>
        <w:pStyle w:val="ListParagraph"/>
        <w:numPr>
          <w:ilvl w:val="0"/>
          <w:numId w:val="5"/>
        </w:numPr>
        <w:spacing w:after="80" w:line="300"/>
      </w:pPr>
      <w:r>
        <w:t xml:space="preserve">Bei wichtigen Dokumenten (z. B. Amtsvorträge, Verordnungen, Veröffentlichungen) prüft eine zweite Person </w:t>
      </w:r>
      <w:r>
        <w:rPr>
          <w:highlight w:val="yellow"/>
        </w:rPr>
        <w:t xml:space="preserve">[oder: die Amtsleitung]</w:t>
      </w:r>
      <w:r>
        <w:t xml:space="preserve">.</w:t>
      </w:r>
    </w:p>
    <w:p>
      <w:pPr>
        <w:pStyle w:val="Heading2"/>
        <w:keepNext/>
        <w:spacing w:after="120" w:before="280"/>
      </w:pPr>
      <w:r>
        <w:rPr>
          <w:b/>
          <w:bCs/>
          <w:color w:val="0098B3"/>
          <w:sz w:val="24"/>
          <w:szCs w:val="24"/>
        </w:rPr>
        <w:t xml:space="preserve">8. Transparenz und Kennzeichnung</w:t>
      </w:r>
    </w:p>
    <w:p>
      <w:pPr>
        <w:pStyle w:val="ListParagraph"/>
        <w:numPr>
          <w:ilvl w:val="0"/>
          <w:numId w:val="6"/>
        </w:numPr>
        <w:spacing w:after="80" w:line="300"/>
      </w:pPr>
      <w:r>
        <w:t xml:space="preserve">Setzt die Gemeinde einen Chat-Assistenten für die Öffentlichkeit ein, wird klar darauf hingewiesen, dass es sich um eine KI handelt (Art. 50 KI-Verordnung).</w:t>
      </w:r>
    </w:p>
    <w:p>
      <w:pPr>
        <w:pStyle w:val="ListParagraph"/>
        <w:numPr>
          <w:ilvl w:val="0"/>
          <w:numId w:val="6"/>
        </w:numPr>
        <w:spacing w:after="80" w:line="300"/>
      </w:pPr>
      <w:r>
        <w:t xml:space="preserve">KI-erzeugte oder wesentlich veränderte Bilder, Audio- und Videoinhalte werden bei Veröffentlichung als solche gekennzeichnet.</w:t>
      </w:r>
    </w:p>
    <w:p>
      <w:pPr>
        <w:pStyle w:val="ListParagraph"/>
        <w:numPr>
          <w:ilvl w:val="0"/>
          <w:numId w:val="6"/>
        </w:numPr>
        <w:spacing w:after="80" w:line="300"/>
      </w:pPr>
      <w:r>
        <w:t xml:space="preserve">Texte, die mit KI-Unterstützung erstellt und von Bediensteten geprüft wurden, gelten als Texte der Gemeinde. Eine Kennzeichnung ist dann nicht nötig, kann aber freiwillig erfolgen.</w:t>
      </w:r>
    </w:p>
    <w:p>
      <w:pPr>
        <w:pStyle w:val="Heading2"/>
        <w:keepNext/>
        <w:spacing w:after="120" w:before="280"/>
      </w:pPr>
      <w:r>
        <w:rPr>
          <w:b/>
          <w:bCs/>
          <w:color w:val="0098B3"/>
          <w:sz w:val="24"/>
          <w:szCs w:val="24"/>
        </w:rPr>
        <w:t xml:space="preserve">9. KI-Kompetenz</w:t>
      </w:r>
    </w:p>
    <w:p>
      <w:pPr>
        <w:spacing w:after="120" w:line="300"/>
      </w:pPr>
      <w:r>
        <w:t xml:space="preserve">Nach Art. 4 KI-Verordnung sorgt die Gemeinde dafür, dass Bedienstete, die KI einsetzen, über ausreichende KI-Kompetenz verfügen. Dazu gilt:</w:t>
      </w:r>
    </w:p>
    <w:p>
      <w:pPr>
        <w:pStyle w:val="ListParagraph"/>
        <w:numPr>
          <w:ilvl w:val="0"/>
          <w:numId w:val="4"/>
        </w:numPr>
        <w:spacing w:after="60" w:line="290"/>
      </w:pPr>
      <w:r>
        <w:t xml:space="preserve">Vor der ersten dienstlichen Nutzung nehmen Bedienstete an einer Einschulung teil.</w:t>
      </w:r>
    </w:p>
    <w:p>
      <w:pPr>
        <w:pStyle w:val="ListParagraph"/>
        <w:numPr>
          <w:ilvl w:val="0"/>
          <w:numId w:val="4"/>
        </w:numPr>
        <w:spacing w:after="60" w:line="290"/>
      </w:pPr>
      <w:r>
        <w:t xml:space="preserve">Die Teilnahme wird dokumentiert </w:t>
      </w:r>
      <w:r>
        <w:rPr>
          <w:highlight w:val="yellow"/>
        </w:rPr>
        <w:t xml:space="preserve">[Ablage: z. B. Personalakt / Schulungsliste]</w:t>
      </w:r>
      <w:r>
        <w:t xml:space="preserve">.</w:t>
      </w:r>
    </w:p>
    <w:p>
      <w:pPr>
        <w:pStyle w:val="ListParagraph"/>
        <w:numPr>
          <w:ilvl w:val="0"/>
          <w:numId w:val="4"/>
        </w:numPr>
        <w:spacing w:after="60" w:line="290"/>
      </w:pPr>
      <w:r>
        <w:t xml:space="preserve">Die Einschulung wird bei wesentlichen Änderungen, spätestens alle zwei Jahre, aufgefrischt.</w:t>
      </w:r>
    </w:p>
    <w:p>
      <w:pPr>
        <w:pStyle w:val="ListParagraph"/>
        <w:numPr>
          <w:ilvl w:val="0"/>
          <w:numId w:val="4"/>
        </w:numPr>
        <w:spacing w:after="60" w:line="290"/>
      </w:pPr>
      <w:r>
        <w:t xml:space="preserve">Jede und jeder Bedienstete bestätigt die Kenntnis dieser Dienstanweisung (Anhang 3).</w:t>
      </w:r>
    </w:p>
    <w:p>
      <w:pPr>
        <w:pStyle w:val="Heading2"/>
        <w:keepNext/>
        <w:spacing w:after="120" w:before="280"/>
      </w:pPr>
      <w:r>
        <w:rPr>
          <w:b/>
          <w:bCs/>
          <w:color w:val="0098B3"/>
          <w:sz w:val="24"/>
          <w:szCs w:val="24"/>
        </w:rPr>
        <w:t xml:space="preserve">10. Urheberrecht und Bilder</w:t>
      </w:r>
    </w:p>
    <w:p>
      <w:pPr>
        <w:spacing w:after="120" w:line="300"/>
      </w:pPr>
      <w:r>
        <w:t xml:space="preserve">Bei Bildern, Grafiken und Texten aus KI-Werkzeugen sind die Nutzungsbedingungen des Anbieters zu beachten. Fremde geschützte Werke (z. B. Fotos, Logos, Texte Dritter) werden nicht in KI-Werkzeuge hochgeladen, um sie zu verändern oder nachzuahmen.</w:t>
      </w:r>
    </w:p>
    <w:p>
      <w:pPr>
        <w:pStyle w:val="Heading2"/>
        <w:keepNext/>
        <w:spacing w:after="120" w:before="280"/>
      </w:pPr>
      <w:r>
        <w:rPr>
          <w:b/>
          <w:bCs/>
          <w:color w:val="0098B3"/>
          <w:sz w:val="24"/>
          <w:szCs w:val="24"/>
        </w:rPr>
        <w:t xml:space="preserve">11. Neue KI-Werkzeuge</w:t>
      </w:r>
    </w:p>
    <w:p>
      <w:pPr>
        <w:spacing w:after="120" w:line="300"/>
      </w:pPr>
      <w:r>
        <w:t xml:space="preserve">Ein neues Werkzeug wird erst nach Prüfung in Anhang 1 aufgenommen. Geprüft werden mindestens:</w:t>
      </w:r>
    </w:p>
    <w:p>
      <w:pPr>
        <w:pStyle w:val="ListParagraph"/>
        <w:numPr>
          <w:ilvl w:val="0"/>
          <w:numId w:val="4"/>
        </w:numPr>
        <w:spacing w:after="60" w:line="290"/>
      </w:pPr>
      <w:r>
        <w:t xml:space="preserve">Zweck und Nutzen: Welche Aufgabe wird erleichtert?</w:t>
      </w:r>
    </w:p>
    <w:p>
      <w:pPr>
        <w:pStyle w:val="ListParagraph"/>
        <w:numPr>
          <w:ilvl w:val="0"/>
          <w:numId w:val="4"/>
        </w:numPr>
        <w:spacing w:after="60" w:line="290"/>
      </w:pPr>
      <w:r>
        <w:t xml:space="preserve">Datenschutz: Serverstandort, Auftragsverarbeitungsvertrag, keine Verwendung der Eingaben zum Training, Löschfristen. Bei Bedarf Datenschutz-Folgenabschätzung.</w:t>
      </w:r>
    </w:p>
    <w:p>
      <w:pPr>
        <w:pStyle w:val="ListParagraph"/>
        <w:numPr>
          <w:ilvl w:val="0"/>
          <w:numId w:val="4"/>
        </w:numPr>
        <w:spacing w:after="60" w:line="290"/>
      </w:pPr>
      <w:r>
        <w:t xml:space="preserve">KI-Verordnung: Risikoeinstufung des Einsatzzwecks. Hochrisiko-Anwendungen (z. B. Entscheidungen über Leistungen an Personen) werden nur nach gesonderter Prüfung eingesetzt.</w:t>
      </w:r>
    </w:p>
    <w:p>
      <w:pPr>
        <w:pStyle w:val="ListParagraph"/>
        <w:numPr>
          <w:ilvl w:val="0"/>
          <w:numId w:val="4"/>
        </w:numPr>
        <w:spacing w:after="60" w:line="290"/>
      </w:pPr>
      <w:r>
        <w:t xml:space="preserve">Kosten, Laufzeit, Ausstieg: Was kostet es, wie kommt die Gemeinde wieder heraus, wo bleiben die Daten?</w:t>
      </w:r>
    </w:p>
    <w:p>
      <w:pPr>
        <w:pStyle w:val="ListParagraph"/>
        <w:numPr>
          <w:ilvl w:val="0"/>
          <w:numId w:val="4"/>
        </w:numPr>
        <w:spacing w:after="60" w:line="290"/>
      </w:pPr>
      <w:r>
        <w:t xml:space="preserve">Freigabe durch die Amtsleitung, Eintrag in Anhang 1 mit zulässiger Datenstufe.</w:t>
      </w:r>
    </w:p>
    <w:p>
      <w:pPr>
        <w:pStyle w:val="Heading2"/>
        <w:keepNext/>
        <w:spacing w:after="120" w:before="280"/>
      </w:pPr>
      <w:r>
        <w:rPr>
          <w:b/>
          <w:bCs/>
          <w:color w:val="0098B3"/>
          <w:sz w:val="24"/>
          <w:szCs w:val="24"/>
        </w:rPr>
        <w:t xml:space="preserve">12. Zuständigkeiten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cantSplit/>
          <w:tblHeader/>
        </w:trPr>
        <w:tc>
          <w:tcPr>
            <w:tcW w:type="dxa" w:w="30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Rolle</w:t>
            </w:r>
          </w:p>
        </w:tc>
        <w:tc>
          <w:tcPr>
            <w:tcW w:type="dxa" w:w="6026"/>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Aufgabe</w:t>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t xml:space="preserve">KI-Ansprechperson </w:t>
            </w:r>
            <w:r>
              <w:rPr>
                <w:highlight w:val="yellow"/>
              </w:rPr>
              <w:t xml:space="preserve">[Name]</w:t>
            </w:r>
          </w:p>
        </w:tc>
        <w:tc>
          <w:tcPr>
            <w:tcW w:type="dxa" w:w="6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Erste Anlaufstelle für Fragen, führt Anhang 1, sammelt Erfahrungen, organisiert Einschulungen.</w:t>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t xml:space="preserve">Datenschutzbeauftragte/r </w:t>
            </w:r>
            <w:r>
              <w:rPr>
                <w:highlight w:val="yellow"/>
              </w:rPr>
              <w:t xml:space="preserve">[Name]</w:t>
            </w:r>
          </w:p>
        </w:tc>
        <w:tc>
          <w:tcPr>
            <w:tcW w:type="dxa" w:w="6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Prüft neue Werkzeuge aus Datenschutzsicht, berät bei Zweifelsfällen der Stufen Gelb und Rot.</w:t>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t xml:space="preserve">Amtsleitung </w:t>
            </w:r>
            <w:r>
              <w:rPr>
                <w:highlight w:val="yellow"/>
              </w:rPr>
              <w:t xml:space="preserve">[Name]</w:t>
            </w:r>
          </w:p>
        </w:tc>
        <w:tc>
          <w:tcPr>
            <w:tcW w:type="dxa" w:w="6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Gibt Werkzeuge frei, entscheidet in Zweifelsfällen, sorgt für die jährliche Überprüfung.</w:t>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Alle Bediensteten</w:t>
            </w:r>
          </w:p>
        </w:tc>
        <w:tc>
          <w:tcPr>
            <w:tcW w:type="dxa" w:w="6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Halten diese Dienstanweisung ein, prüfen KI-Ergebnisse, melden Probleme.</w:t>
            </w:r>
          </w:p>
        </w:tc>
      </w:tr>
    </w:tbl>
    <w:p>
      <w:pPr>
        <w:pStyle w:val="Heading2"/>
        <w:keepNext/>
        <w:spacing w:after="120" w:before="280"/>
      </w:pPr>
      <w:r>
        <w:rPr>
          <w:b/>
          <w:bCs/>
          <w:color w:val="0098B3"/>
          <w:sz w:val="24"/>
          <w:szCs w:val="24"/>
        </w:rPr>
        <w:t xml:space="preserve">13. Vorfälle melden</w:t>
      </w:r>
    </w:p>
    <w:p>
      <w:pPr>
        <w:spacing w:after="120" w:line="300"/>
      </w:pPr>
      <w:r>
        <w:t xml:space="preserve">Wurden versehentlich Daten der Stufe Gelb oder Rot in ein nicht freigegebenes Werkzeug eingegeben, ist das unverzüglich der KI-Ansprechperson und der/dem Datenschutzbeauftragten zu melden. Bei einer Verletzung des Schutzes personenbezogener Daten kann eine Meldung an die Datenschutzbehörde binnen 72 Stunden nötig sein (Art. 33 DSGVO). Wer einen Fehler meldet, handelt richtig. Je früher, desto besser.</w:t>
      </w:r>
    </w:p>
    <w:p>
      <w:pPr>
        <w:pStyle w:val="Heading2"/>
        <w:keepNext/>
        <w:spacing w:after="120" w:before="280"/>
      </w:pPr>
      <w:r>
        <w:rPr>
          <w:b/>
          <w:bCs/>
          <w:color w:val="0098B3"/>
          <w:sz w:val="24"/>
          <w:szCs w:val="24"/>
        </w:rPr>
        <w:t xml:space="preserve">14. Inkrafttreten und Überprüfung</w:t>
      </w:r>
    </w:p>
    <w:p>
      <w:pPr>
        <w:spacing w:after="120" w:line="300"/>
      </w:pPr>
      <w:r>
        <w:t xml:space="preserve">Diese Dienstanweisung tritt mit </w:t>
      </w:r>
      <w:r>
        <w:rPr>
          <w:highlight w:val="yellow"/>
        </w:rPr>
        <w:t xml:space="preserve">[Datum]</w:t>
      </w:r>
      <w:r>
        <w:t xml:space="preserve"> in Kraft. Sie wird mindestens einmal jährlich sowie bei wesentlichen rechtlichen oder technischen Änderungen überprüft und angepasst.</w:t>
      </w:r>
    </w:p>
    <w:p>
      <w:pPr>
        <w:spacing w:before="480"/>
      </w:pPr>
      <w:r>
        <w:t xml:space="preserve"/>
      </w:r>
    </w:p>
    <w:p>
      <w:pPr>
        <w:spacing w:after="120" w:line="300"/>
      </w:pPr>
      <w:r>
        <w:rPr>
          <w:highlight w:val="yellow"/>
        </w:rPr>
        <w:t xml:space="preserve">[Ort]</w:t>
      </w:r>
      <w:r>
        <w:t xml:space="preserve">, am </w:t>
      </w:r>
      <w:r>
        <w:rPr>
          <w:highlight w:val="yellow"/>
        </w:rPr>
        <w:t xml:space="preserve">[Datum]</w:t>
      </w:r>
    </w:p>
    <w:p>
      <w:pPr>
        <w:spacing w:before="600"/>
      </w:pPr>
      <w:r>
        <w:t xml:space="preserve"/>
      </w:r>
    </w:p>
    <w:p>
      <w:pPr>
        <w:spacing w:after="20"/>
      </w:pPr>
      <w:r>
        <w:t xml:space="preserve">______________________________</w:t>
      </w:r>
    </w:p>
    <w:p>
      <w:pPr>
        <w:spacing w:after="120" w:line="300"/>
      </w:pPr>
      <w:r>
        <w:rPr>
          <w:highlight w:val="yellow"/>
        </w:rPr>
        <w:t xml:space="preserve">[Bürgermeister/in]</w:t>
      </w:r>
    </w:p>
    <w:p>
      <w:r>
        <w:br w:type="page"/>
      </w:r>
    </w:p>
    <w:p>
      <w:pPr>
        <w:pStyle w:val="Heading1"/>
        <w:spacing w:after="200" w:before="120"/>
      </w:pPr>
      <w:r>
        <w:rPr>
          <w:b/>
          <w:bCs/>
          <w:color w:val="111111"/>
          <w:sz w:val="32"/>
          <w:szCs w:val="32"/>
        </w:rPr>
        <w:t xml:space="preserve">Anhang 1: Freigegebene KI-Werkzeuge</w:t>
      </w:r>
    </w:p>
    <w:p>
      <w:pPr>
        <w:spacing w:after="120" w:line="300"/>
      </w:pPr>
      <w:r>
        <w:t xml:space="preserve">Wird von der KI-Ansprechperson geführt. Nur hier eingetragene Werkzeuge dürfen dienstlich genutzt werden, und nur bis zur angegebenen Datenstufe.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2400"/>
        <w:gridCol w:w="1300"/>
        <w:gridCol w:w="1500"/>
        <w:gridCol w:w="1526"/>
      </w:tblGrid>
      <w:tr>
        <w:trPr>
          <w:cantSplit/>
          <w:tblHeader/>
        </w:trPr>
        <w:tc>
          <w:tcPr>
            <w:tcW w:type="dxa" w:w="23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Werkzeug</w:t>
            </w:r>
          </w:p>
        </w:tc>
        <w:tc>
          <w:tcPr>
            <w:tcW w:type="dxa" w:w="24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Zweck</w:t>
            </w:r>
          </w:p>
        </w:tc>
        <w:tc>
          <w:tcPr>
            <w:tcW w:type="dxa" w:w="13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Höchste Stufe</w:t>
            </w:r>
          </w:p>
        </w:tc>
        <w:tc>
          <w:tcPr>
            <w:tcW w:type="dxa" w:w="15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Vertrag / AVV</w:t>
            </w:r>
          </w:p>
        </w:tc>
        <w:tc>
          <w:tcPr>
            <w:tcW w:type="dxa" w:w="1526"/>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Freigabe am</w:t>
            </w:r>
          </w:p>
        </w:tc>
      </w:tr>
      <w:tr>
        <w:trPr>
          <w:cantSplit/>
          <w:tblHeader w:val="off"/>
        </w:trPr>
        <w:tc>
          <w:tcPr>
            <w:tcW w:type="dxa" w:w="2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[z. B. Chat-Assistent der Bürosoftware]</w:t>
            </w:r>
          </w:p>
        </w:tc>
        <w:tc>
          <w:tcPr>
            <w:tcW w:type="dxa" w:w="24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Texte formulieren, zusammenfassen</w:t>
            </w:r>
          </w:p>
        </w:tc>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Gelb</w:t>
            </w:r>
          </w:p>
        </w:tc>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ja</w:t>
            </w:r>
          </w:p>
        </w:tc>
        <w:tc>
          <w:tcPr>
            <w:tcW w:type="dxa" w:w="1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[Datum]</w:t>
            </w:r>
          </w:p>
        </w:tc>
      </w:tr>
      <w:tr>
        <w:trPr>
          <w:cantSplit/>
          <w:tblHeader w:val="off"/>
        </w:trPr>
        <w:tc>
          <w:tcPr>
            <w:tcW w:type="dxa" w:w="2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[z. B. Übersetzungsdienst]</w:t>
            </w:r>
          </w:p>
        </w:tc>
        <w:tc>
          <w:tcPr>
            <w:tcW w:type="dxa" w:w="24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Übersetzen von Kundmachungen</w:t>
            </w:r>
          </w:p>
        </w:tc>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Grün</w:t>
            </w:r>
          </w:p>
        </w:tc>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[ja/nein]</w:t>
            </w:r>
          </w:p>
        </w:tc>
        <w:tc>
          <w:tcPr>
            <w:tcW w:type="dxa" w:w="1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[Datum]</w:t>
            </w:r>
          </w:p>
        </w:tc>
      </w:tr>
      <w:tr>
        <w:trPr>
          <w:cantSplit/>
          <w:tblHeader w:val="off"/>
        </w:trPr>
        <w:tc>
          <w:tcPr>
            <w:tcW w:type="dxa" w:w="2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[z. B. lokale Transkription]</w:t>
            </w:r>
          </w:p>
        </w:tc>
        <w:tc>
          <w:tcPr>
            <w:tcW w:type="dxa" w:w="24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Sitzungsprotokolle</w:t>
            </w:r>
          </w:p>
        </w:tc>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Rot (lokal)</w:t>
            </w:r>
          </w:p>
        </w:tc>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eigener Server</w:t>
            </w:r>
          </w:p>
        </w:tc>
        <w:tc>
          <w:tcPr>
            <w:tcW w:type="dxa" w:w="1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highlight w:val="yellow"/>
              </w:rPr>
              <w:t xml:space="preserve">[Datum]</w:t>
            </w:r>
          </w:p>
        </w:tc>
      </w:tr>
      <w:tr>
        <w:trPr>
          <w:cantSplit/>
          <w:tblHeader w:val="off"/>
        </w:trPr>
        <w:tc>
          <w:tcPr>
            <w:tcW w:type="dxa" w:w="2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24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1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r>
        <w:trPr>
          <w:cantSplit/>
          <w:tblHeader w:val="off"/>
        </w:trPr>
        <w:tc>
          <w:tcPr>
            <w:tcW w:type="dxa" w:w="2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24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13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1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bl>
    <w:p>
      <w:r>
        <w:br w:type="page"/>
      </w:r>
    </w:p>
    <w:p>
      <w:pPr>
        <w:pStyle w:val="Heading1"/>
        <w:spacing w:after="200" w:before="120"/>
      </w:pPr>
      <w:r>
        <w:rPr>
          <w:b/>
          <w:bCs/>
          <w:color w:val="111111"/>
          <w:sz w:val="32"/>
          <w:szCs w:val="32"/>
        </w:rPr>
        <w:t xml:space="preserve">Anhang 2: KI im Gemeindeamt – auf einen Blick</w:t>
      </w:r>
    </w:p>
    <w:p>
      <w:pPr>
        <w:spacing w:after="120" w:line="300"/>
      </w:pPr>
      <w:r>
        <w:rPr>
          <w:color w:val="5A6470"/>
        </w:rPr>
        <w:t xml:space="preserve">Zum Ausdrucken und Aufhängen.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cantSplit/>
          <w:tblHeader/>
        </w:trPr>
        <w:tc>
          <w:tcPr>
            <w:tcW w:type="dxa" w:w="15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
            </w:r>
          </w:p>
        </w:tc>
        <w:tc>
          <w:tcPr>
            <w:tcW w:type="dxa" w:w="7526"/>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Was gilt</w:t>
            </w:r>
          </w:p>
        </w:tc>
      </w:tr>
      <w:tr>
        <w:trPr>
          <w:cantSplit/>
          <w:tblHeader w:val="off"/>
        </w:trPr>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bCs/>
                <w:color w:val="1E8E5A"/>
              </w:rPr>
              <w:t xml:space="preserve">GRÜN</w:t>
            </w:r>
          </w:p>
        </w:tc>
        <w:tc>
          <w:tcPr>
            <w:tcW w:type="dxa" w:w="7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Öffentliches ohne Namen: Kundmachungen, Gemeindezeitung, allgemeine Fragen. Alle freigegebenen Werkzeuge erlaubt.</w:t>
            </w:r>
          </w:p>
        </w:tc>
      </w:tr>
      <w:tr>
        <w:trPr>
          <w:cantSplit/>
          <w:tblHeader w:val="off"/>
        </w:trPr>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bCs/>
                <w:color w:val="B7791F"/>
              </w:rPr>
              <w:t xml:space="preserve">GELB</w:t>
            </w:r>
          </w:p>
        </w:tc>
        <w:tc>
          <w:tcPr>
            <w:tcW w:type="dxa" w:w="7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Internes ohne Namen: Entwürfe, Abläufe, anonyme Zahlen. Nur Werkzeuge mit Vermerk „Gelb“.</w:t>
            </w:r>
          </w:p>
        </w:tc>
      </w:tr>
      <w:tr>
        <w:trPr>
          <w:cantSplit/>
          <w:tblHeader w:val="off"/>
        </w:trPr>
        <w:tc>
          <w:tcPr>
            <w:tcW w:type="dxa" w:w="15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bCs/>
                <w:color w:val="C53030"/>
              </w:rPr>
              <w:t xml:space="preserve">ROT</w:t>
            </w:r>
          </w:p>
        </w:tc>
        <w:tc>
          <w:tcPr>
            <w:tcW w:type="dxa" w:w="75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Alles mit Namen oder Vertrauliches: Melde-, Abgaben-, Sozial-, Personaldaten, Verfahrensakten. NICHT in externe KI.</w:t>
            </w:r>
          </w:p>
        </w:tc>
      </w:tr>
    </w:tbl>
    <w:p>
      <w:pPr>
        <w:spacing w:after="120" w:line="300"/>
      </w:pPr>
      <w:r>
        <w:t xml:space="preserve"/>
      </w:r>
    </w:p>
    <w:p>
      <w:pPr>
        <w:spacing w:after="120" w:line="300"/>
      </w:pPr>
      <w:r>
        <w:rPr>
          <w:b/>
          <w:bCs/>
          <w:sz w:val="26"/>
          <w:szCs w:val="26"/>
        </w:rPr>
        <w:t xml:space="preserve">Fünf goldene Regeln</w:t>
      </w:r>
    </w:p>
    <w:p>
      <w:pPr>
        <w:pStyle w:val="ListParagraph"/>
        <w:numPr>
          <w:ilvl w:val="0"/>
          <w:numId w:val="7"/>
        </w:numPr>
        <w:spacing w:after="80" w:line="300"/>
      </w:pPr>
      <w:r>
        <w:t xml:space="preserve">KI bereitet vor, ich entscheide.</w:t>
      </w:r>
    </w:p>
    <w:p>
      <w:pPr>
        <w:pStyle w:val="ListParagraph"/>
        <w:numPr>
          <w:ilvl w:val="0"/>
          <w:numId w:val="7"/>
        </w:numPr>
        <w:spacing w:after="80" w:line="300"/>
      </w:pPr>
      <w:r>
        <w:t xml:space="preserve">Keine Namen, keine Adressen, keine Akten in externe KI.</w:t>
      </w:r>
    </w:p>
    <w:p>
      <w:pPr>
        <w:pStyle w:val="ListParagraph"/>
        <w:numPr>
          <w:ilvl w:val="0"/>
          <w:numId w:val="7"/>
        </w:numPr>
        <w:spacing w:after="80" w:line="300"/>
      </w:pPr>
      <w:r>
        <w:t xml:space="preserve">Jede Zahl, jedes Gesetz, jedes Zitat prüfe ich an der Quelle.</w:t>
      </w:r>
    </w:p>
    <w:p>
      <w:pPr>
        <w:pStyle w:val="ListParagraph"/>
        <w:numPr>
          <w:ilvl w:val="0"/>
          <w:numId w:val="7"/>
        </w:numPr>
        <w:spacing w:after="80" w:line="300"/>
      </w:pPr>
      <w:r>
        <w:t xml:space="preserve">Nur Werkzeuge aus der Liste, nur mit Dienstkonto.</w:t>
      </w:r>
    </w:p>
    <w:p>
      <w:pPr>
        <w:pStyle w:val="ListParagraph"/>
        <w:numPr>
          <w:ilvl w:val="0"/>
          <w:numId w:val="7"/>
        </w:numPr>
        <w:spacing w:after="80" w:line="300"/>
      </w:pPr>
      <w:r>
        <w:t xml:space="preserve">Im Zweifel frage ich: </w:t>
      </w:r>
      <w:r>
        <w:rPr>
          <w:highlight w:val="yellow"/>
        </w:rPr>
        <w:t xml:space="preserve">[Name, Durchwahl]</w:t>
      </w:r>
      <w:r>
        <w:t xml:space="preserve">. Fehler melde ich sofort.</w:t>
      </w:r>
    </w:p>
    <w:p>
      <w:r>
        <w:br w:type="page"/>
      </w:r>
    </w:p>
    <w:p>
      <w:pPr>
        <w:pStyle w:val="Heading1"/>
        <w:spacing w:after="200" w:before="120"/>
      </w:pPr>
      <w:r>
        <w:rPr>
          <w:b/>
          <w:bCs/>
          <w:color w:val="111111"/>
          <w:sz w:val="32"/>
          <w:szCs w:val="32"/>
        </w:rPr>
        <w:t xml:space="preserve">Anhang 3: Bestätigung der Kenntnisnahme</w:t>
      </w:r>
    </w:p>
    <w:p>
      <w:pPr>
        <w:spacing w:after="120" w:line="300"/>
      </w:pPr>
      <w:r>
        <w:t xml:space="preserve">Ich habe die Dienstanweisung zum Einsatz von Künstlicher Intelligenz der </w:t>
      </w:r>
      <w:r>
        <w:rPr>
          <w:highlight w:val="yellow"/>
        </w:rPr>
        <w:t xml:space="preserve">[Gemeinde]</w:t>
      </w:r>
      <w:r>
        <w:t xml:space="preserve"> vom </w:t>
      </w:r>
      <w:r>
        <w:rPr>
          <w:highlight w:val="yellow"/>
        </w:rPr>
        <w:t xml:space="preserve">[Datum]</w:t>
      </w:r>
      <w:r>
        <w:t xml:space="preserve"> erhalten, gelesen und verstanden. Ich halte mich an die darin festgelegten Regeln.</w:t>
      </w:r>
    </w:p>
    <w:p>
      <w:pPr>
        <w:spacing w:after="120" w:line="300"/>
      </w:pPr>
      <w:r>
        <w:t xml:space="preserve">Ich habe an der Einschulung zur KI-Kompetenz teilgenommen am: ________________</w:t>
      </w:r>
    </w:p>
    <w:p>
      <w:pPr>
        <w:spacing w:before="40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rPr>
          <w:cantSplit/>
          <w:tblHeader/>
        </w:trPr>
        <w:tc>
          <w:tcPr>
            <w:tcW w:type="dxa" w:w="30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Name</w:t>
            </w:r>
          </w:p>
        </w:tc>
        <w:tc>
          <w:tcPr>
            <w:tcW w:type="dxa" w:w="3000"/>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Datum</w:t>
            </w:r>
          </w:p>
        </w:tc>
        <w:tc>
          <w:tcPr>
            <w:tcW w:type="dxa" w:w="3026"/>
            <w:tcBorders>
              <w:top w:val="single" w:color="BFC6CF" w:sz="4"/>
              <w:left w:val="single" w:color="BFC6CF" w:sz="4"/>
              <w:bottom w:val="single" w:color="BFC6CF" w:sz="4"/>
              <w:right w:val="single" w:color="BFC6CF" w:sz="4"/>
            </w:tcBorders>
            <w:shd w:fill="E6F4F7" w:color="auto" w:val="clear"/>
            <w:tcMar>
              <w:top w:type="dxa" w:w="80"/>
              <w:left w:type="dxa" w:w="120"/>
              <w:bottom w:type="dxa" w:w="80"/>
              <w:right w:type="dxa" w:w="120"/>
            </w:tcMar>
          </w:tcPr>
          <w:p>
            <w:pPr>
              <w:spacing w:after="40"/>
            </w:pPr>
            <w:r>
              <w:rPr>
                <w:b/>
                <w:bCs/>
              </w:rPr>
              <w:t xml:space="preserve">Unterschrift</w:t>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r>
        <w:trPr>
          <w:cantSplit/>
          <w:tblHeader w:val="off"/>
        </w:trPr>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00"/>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c>
          <w:tcPr>
            <w:tcW w:type="dxa" w:w="3026"/>
            <w:tcBorders>
              <w:top w:val="single" w:color="BFC6CF" w:sz="4"/>
              <w:left w:val="single" w:color="BFC6CF" w:sz="4"/>
              <w:bottom w:val="single" w:color="BFC6CF" w:sz="4"/>
              <w:right w:val="single" w:color="BFC6CF" w:sz="4"/>
            </w:tcBorders>
            <w:tcMar>
              <w:top w:type="dxa" w:w="80"/>
              <w:left w:type="dxa" w:w="120"/>
              <w:bottom w:type="dxa" w:w="80"/>
              <w:right w:type="dxa" w:w="120"/>
            </w:tcMar>
          </w:tcPr>
          <w:p>
            <w:pPr>
              <w:spacing w:after="40"/>
            </w:pPr>
            <w:r>
              <w:rPr>
                <w:b w:val="false"/>
                <w:bCs w:val="false"/>
              </w:rPr>
              <w:t xml:space="preserve"/>
            </w:r>
          </w:p>
        </w:tc>
      </w:tr>
    </w:tbl>
    <w:p>
      <w:r>
        <w:br w:type="page"/>
      </w:r>
    </w:p>
    <w:p>
      <w:pPr>
        <w:pStyle w:val="Heading1"/>
        <w:spacing w:after="200" w:before="120"/>
      </w:pPr>
      <w:r>
        <w:rPr>
          <w:b/>
          <w:bCs/>
          <w:color w:val="111111"/>
          <w:sz w:val="32"/>
          <w:szCs w:val="32"/>
        </w:rPr>
        <w:t xml:space="preserve">Teil B: Muster-Amtsvortrag</w:t>
      </w:r>
    </w:p>
    <w:p>
      <w:pPr>
        <w:spacing w:after="120" w:line="300"/>
      </w:pPr>
      <w:r>
        <w:rPr>
          <w:color w:val="5A6470"/>
        </w:rPr>
        <w:t xml:space="preserve">Für die Befassung des </w:t>
      </w:r>
      <w:r>
        <w:rPr>
          <w:highlight w:val="yellow"/>
        </w:rPr>
        <w:t xml:space="preserve">[Gemeinderates / Gemeindevorstandes]</w:t>
      </w:r>
      <w:r>
        <w:rPr>
          <w:color w:val="5A6470"/>
        </w:rPr>
        <w:t xml:space="preserve"> bzw. zur Information. Je nach Zuständigkeit als Beschluss oder als Kenntnisnahme.</w:t>
      </w:r>
    </w:p>
    <w:p>
      <w:pPr>
        <w:pStyle w:val="Heading2"/>
        <w:keepNext/>
        <w:spacing w:after="120" w:before="280"/>
      </w:pPr>
      <w:r>
        <w:rPr>
          <w:b/>
          <w:bCs/>
          <w:color w:val="0098B3"/>
          <w:sz w:val="24"/>
          <w:szCs w:val="24"/>
        </w:rPr>
        <w:t xml:space="preserve">Betreff: Regeln für den Einsatz von Künstlicher Intelligenz im Gemeindeamt</w:t>
      </w:r>
    </w:p>
    <w:p>
      <w:pPr>
        <w:spacing w:after="120" w:line="300"/>
      </w:pPr>
      <w:r>
        <w:rPr>
          <w:b/>
          <w:bCs/>
        </w:rPr>
        <w:t xml:space="preserve">Sachverhalt</w:t>
      </w:r>
    </w:p>
    <w:p>
      <w:pPr>
        <w:spacing w:after="120" w:line="300"/>
      </w:pPr>
      <w:r>
        <w:t xml:space="preserve">Werkzeuge mit Künstlicher Intelligenz sind inzwischen in vielen Programmen enthalten und werden auch im Gemeindeamt genutzt oder nachgefragt. Sie können Zeit sparen, etwa beim Formulieren von Schreiben, beim Zusammenfassen von Unterlagen oder beim Übersetzen.</w:t>
      </w:r>
    </w:p>
    <w:p>
      <w:pPr>
        <w:spacing w:after="120" w:line="300"/>
      </w:pPr>
      <w:r>
        <w:t xml:space="preserve">Gleichzeitig ergeben sich Pflichten: Seit 2. Februar 2025 müssen Organisationen, die KI einsetzen, für ausreichende KI-Kompetenz ihrer Mitarbeitenden sorgen (Art. 4 EU-KI-Verordnung). Personenbezogene Daten der Bürgerinnen und Bürger dürfen nicht unkontrolliert an externe Anbieter gelangen (DSGVO), und Verschwiegenheitspflichten gelten weiterhin.</w:t>
      </w:r>
    </w:p>
    <w:p>
      <w:pPr>
        <w:spacing w:after="120" w:line="300"/>
      </w:pPr>
      <w:r>
        <w:t xml:space="preserve">Die vorliegende Dienstanweisung schafft klare Regeln: Eine Ampel legt fest, welche Daten in welche Werkzeuge eingegeben werden dürfen. Es gibt eine Liste freigegebener Werkzeuge, klare Zuständigkeiten und eine verpflichtende Einschulung.</w:t>
      </w:r>
    </w:p>
    <w:p>
      <w:pPr>
        <w:spacing w:after="120" w:line="300"/>
      </w:pPr>
      <w:r>
        <w:rPr>
          <w:b/>
          <w:bCs/>
        </w:rPr>
        <w:t xml:space="preserve">Kosten</w:t>
      </w:r>
    </w:p>
    <w:p>
      <w:pPr>
        <w:spacing w:after="120" w:line="300"/>
      </w:pPr>
      <w:r>
        <w:t xml:space="preserve">Für Einschulung und Einführung: </w:t>
      </w:r>
      <w:r>
        <w:rPr>
          <w:highlight w:val="yellow"/>
        </w:rPr>
        <w:t xml:space="preserve">[Betrag oder „keine Mehrkosten“]</w:t>
      </w:r>
      <w:r>
        <w:t xml:space="preserve">. Laufende Kosten für Werkzeuge: </w:t>
      </w:r>
      <w:r>
        <w:rPr>
          <w:highlight w:val="yellow"/>
        </w:rPr>
        <w:t xml:space="preserve">[Betrag / Haushaltsstelle]</w:t>
      </w:r>
      <w:r>
        <w:t xml:space="preserve">.</w:t>
      </w:r>
    </w:p>
    <w:p>
      <w:pPr>
        <w:spacing w:after="120" w:line="300"/>
      </w:pPr>
      <w:r>
        <w:rPr>
          <w:b/>
          <w:bCs/>
        </w:rPr>
        <w:t xml:space="preserve">Antrag</w:t>
      </w:r>
    </w:p>
    <w:p>
      <w:pPr>
        <w:spacing w:after="120" w:line="300"/>
      </w:pPr>
      <w:r>
        <w:t xml:space="preserve">Der </w:t>
      </w:r>
      <w:r>
        <w:rPr>
          <w:highlight w:val="yellow"/>
        </w:rPr>
        <w:t xml:space="preserve">[Gemeinderat / Gemeindevorstand]</w:t>
      </w:r>
      <w:r>
        <w:t xml:space="preserve"> wolle beschließen: Die Dienstanweisung zum Einsatz von Künstlicher Intelligenz in der vorliegenden Fassung wird </w:t>
      </w:r>
      <w:r>
        <w:rPr>
          <w:highlight w:val="yellow"/>
        </w:rPr>
        <w:t xml:space="preserve">[genehmigt / zur Kenntnis genommen]</w:t>
      </w:r>
      <w:r>
        <w:t xml:space="preserve">. Die Amtsleitung wird beauftragt, die Einschulung aller betroffenen Bediensteten bis </w:t>
      </w:r>
      <w:r>
        <w:rPr>
          <w:highlight w:val="yellow"/>
        </w:rPr>
        <w:t xml:space="preserve">[Datum]</w:t>
      </w:r>
      <w:r>
        <w:t xml:space="preserve"> durchzuführen und zu dokumentieren.</w:t>
      </w:r>
    </w:p>
    <w:p>
      <w:pPr>
        <w:spacing w:before="3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98B3" w:sz="18"/>
              <w:bottom w:val="none" w:color="FFFFFF" w:sz="0"/>
              <w:right w:val="none" w:color="FFFFFF" w:sz="0"/>
            </w:tcBorders>
            <w:shd w:fill="EAF6F9" w:color="auto" w:val="clear"/>
            <w:tcMar>
              <w:top w:type="dxa" w:w="120"/>
              <w:left w:type="dxa" w:w="200"/>
              <w:bottom w:type="dxa" w:w="120"/>
              <w:right w:type="dxa" w:w="200"/>
            </w:tcMar>
          </w:tcPr>
          <w:p>
            <w:pPr>
              <w:spacing w:after="60"/>
            </w:pPr>
            <w:r>
              <w:rPr>
                <w:b/>
                <w:bCs/>
              </w:rPr>
              <w:t xml:space="preserve">Unterstützung durch Silop</w:t>
            </w:r>
          </w:p>
          <w:p>
            <w:pPr>
              <w:spacing w:after="60" w:line="280"/>
            </w:pPr>
            <w:r>
              <w:t xml:space="preserve">Einschulung nach Art. 4 KI-Verordnung (Paket Silop Start), Anpassung der Richtlinie an Ihre Gemeinde mit Abstimmungstermin (Paket Silop Regel) oder Prüfung neuer Werkzeuge: office@silop.at, silop.at/pakete</w:t>
            </w:r>
          </w:p>
        </w:tc>
      </w:tr>
    </w:tbl>
    <w:sectPr>
      <w:headerReference w:type="default" r:id="rId6"/>
      <w:footerReference w:type="default" r:id="rId7"/>
      <w:pgSz w:w="11906" w:h="16838" w:orient="portrait"/>
      <w:pgMar w:top="1900" w:right="1440" w:bottom="1300" w:left="1440" w:header="6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5A6470"/>
        <w:sz w:val="16"/>
        <w:szCs w:val="16"/>
      </w:rPr>
      <w:t xml:space="preserve">Silop – Muster-KI-Richtlinie für Gemeinden, Stand Oktober 2026</w:t>
    </w:r>
    <w:r>
      <w:rPr>
        <w:color w:val="5A6470"/>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1239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5524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abstractNum>
  <w:abstractNum w:abstractNumId="3" w15:restartNumberingAfterBreak="0">
    <w:multiLevelType w:val="hybridMultilevel"/>
    <w:lvl w:ilvl="0" w:tentative="1">
      <w:start w:val="1"/>
      <w:numFmt w:val="decimal"/>
      <w:lvlText w:val="%1."/>
      <w:lvlJc w:val="left"/>
      <w:pPr>
        <w:ind w:left="567" w:hanging="567"/>
      </w:pPr>
    </w:lvl>
  </w:abstractNum>
  <w:abstractNum w:abstractNumId="4" w15:restartNumberingAfterBreak="0">
    <w:multiLevelType w:val="hybridMultilevel"/>
    <w:lvl w:ilvl="0" w:tentative="1">
      <w:start w:val="1"/>
      <w:numFmt w:val="decimal"/>
      <w:lvlText w:val="%1."/>
      <w:lvlJc w:val="left"/>
      <w:pPr>
        <w:ind w:left="567" w:hanging="567"/>
      </w:pPr>
    </w:lvl>
  </w:abstractNum>
  <w:abstractNum w:abstractNumId="5" w15:restartNumberingAfterBreak="0">
    <w:multiLevelType w:val="hybridMultilevel"/>
    <w:lvl w:ilvl="0" w:tentative="1">
      <w:start w:val="1"/>
      <w:numFmt w:val="decimal"/>
      <w:lvlText w:val="%1."/>
      <w:lvlJc w:val="left"/>
      <w:pPr>
        <w:ind w:left="567" w:hanging="567"/>
      </w:pPr>
    </w:lvl>
  </w:abstractNum>
  <w:abstractNum w:abstractNumId="6" w15:restartNumberingAfterBreak="0">
    <w:multiLevelType w:val="hybridMultilevel"/>
    <w:lvl w:ilvl="0" w:tentative="1">
      <w:start w:val="1"/>
      <w:numFmt w:val="decimal"/>
      <w:lvlText w:val="%1."/>
      <w:lvlJc w:val="left"/>
      <w:pPr>
        <w:ind w:left="567" w:hanging="567"/>
      </w:pPr>
    </w:lvl>
  </w:abstractNum>
  <w:abstractNum w:abstractNumId="7" w15:restartNumberingAfterBreak="0">
    <w:multiLevelType w:val="hybridMultilevel"/>
    <w:lvl w:ilvl="0" w:tentative="1">
      <w:start w:val="1"/>
      <w:numFmt w:val="decimal"/>
      <w:lvlText w:val="%1."/>
      <w:lvlJc w:val="left"/>
      <w:pPr>
        <w:ind w:left="567" w:hanging="567"/>
      </w:pPr>
    </w:lvl>
  </w:abstractNum>
  <w:abstractNum w:abstractNumId="8" w15:restartNumberingAfterBreak="0">
    <w:multiLevelType w:val="hybridMultilevel"/>
    <w:lvl w:ilvl="0" w:tentative="1">
      <w:start w:val="1"/>
      <w:numFmt w:val="decimal"/>
      <w:lvlText w:val="%1."/>
      <w:lvlJc w:val="left"/>
      <w:pPr>
        <w:ind w:left="567" w:hanging="567"/>
      </w:pPr>
    </w:lvl>
  </w:abstractNum>
  <w:abstractNum w:abstractNumId="9" w15:restartNumberingAfterBreak="0">
    <w:multiLevelType w:val="hybridMultilevel"/>
    <w:lvl w:ilvl="0" w:tentative="1">
      <w:start w:val="1"/>
      <w:numFmt w:val="decimal"/>
      <w:lvlText w:val="%1."/>
      <w:lvlJc w:val="left"/>
      <w:pPr>
        <w:ind w:left="567" w:hanging="567"/>
      </w:pPr>
    </w:lvl>
  </w:abstractNum>
  <w:abstractNum w:abstractNumId="10" w15:restartNumberingAfterBreak="0">
    <w:multiLevelType w:val="hybridMultilevel"/>
    <w:lvl w:ilvl="0" w:tentative="1">
      <w:start w:val="1"/>
      <w:numFmt w:val="decimal"/>
      <w:lvlText w:val="%1."/>
      <w:lvlJc w:val="left"/>
      <w:pPr>
        <w:ind w:left="567" w:hanging="567"/>
      </w:pPr>
    </w:lvl>
  </w:abstractNum>
  <w:abstractNum w:abstractNumId="11" w15:restartNumberingAfterBreak="0">
    <w:multiLevelType w:val="hybridMultilevel"/>
    <w:lvl w:ilvl="0" w:tentative="1">
      <w:start w:val="1"/>
      <w:numFmt w:val="decimal"/>
      <w:lvlText w:val="%1."/>
      <w:lvlJc w:val="left"/>
      <w:pPr>
        <w:ind w:left="567" w:hanging="567"/>
      </w:pPr>
    </w:lvl>
  </w:abstractNum>
  <w:abstractNum w:abstractNumId="12" w15:restartNumberingAfterBreak="0">
    <w:multiLevelType w:val="hybridMultilevel"/>
    <w:lvl w:ilvl="0" w:tentative="1">
      <w:start w:val="1"/>
      <w:numFmt w:val="decimal"/>
      <w:lvlText w:val="%1."/>
      <w:lvlJc w:val="left"/>
      <w:pPr>
        <w:ind w:left="567" w:hanging="567"/>
      </w:pPr>
    </w:lvl>
  </w:abstractNum>
  <w:abstractNum w:abstractNumId="13" w15:restartNumberingAfterBreak="0">
    <w:multiLevelType w:val="hybridMultilevel"/>
    <w:lvl w:ilvl="0" w:tentative="1">
      <w:start w:val="1"/>
      <w:numFmt w:val="decimal"/>
      <w:lvlText w:val="%1."/>
      <w:lvlJc w:val="left"/>
      <w:pPr>
        <w:ind w:left="567" w:hanging="567"/>
      </w:pPr>
    </w:lvl>
  </w:abstractNum>
  <w:abstractNum w:abstractNumId="14" w15:restartNumberingAfterBreak="0">
    <w:multiLevelType w:val="hybridMultilevel"/>
    <w:lvl w:ilvl="0" w:tentative="1">
      <w:start w:val="1"/>
      <w:numFmt w:val="decimal"/>
      <w:lvlText w:val="%1."/>
      <w:lvlJc w:val="left"/>
      <w:pPr>
        <w:ind w:left="567" w:hanging="567"/>
      </w:pPr>
    </w:lvl>
  </w:abstractNum>
  <w:abstractNum w:abstractNumId="15" w15:restartNumberingAfterBreak="0">
    <w:multiLevelType w:val="hybridMultilevel"/>
    <w:lvl w:ilvl="0" w:tentative="1">
      <w:start w:val="1"/>
      <w:numFmt w:val="decimal"/>
      <w:lvlText w:val="%1."/>
      <w:lvlJc w:val="left"/>
      <w:pPr>
        <w:ind w:left="567" w:hanging="567"/>
      </w:pPr>
    </w:lvl>
  </w:abstractNum>
  <w:abstractNum w:abstractNumId="16" w15:restartNumberingAfterBreak="0">
    <w:multiLevelType w:val="hybridMultilevel"/>
    <w:lvl w:ilvl="0" w:tentative="1">
      <w:start w:val="1"/>
      <w:numFmt w:val="decimal"/>
      <w:lvlText w:val="%1."/>
      <w:lvlJc w:val="left"/>
      <w:pPr>
        <w:ind w:left="567" w:hanging="567"/>
      </w:pPr>
    </w:lvl>
  </w:abstractNum>
  <w:abstractNum w:abstractNumId="17" w15:restartNumberingAfterBreak="0">
    <w:multiLevelType w:val="hybridMultilevel"/>
    <w:lvl w:ilvl="0" w:tentative="1">
      <w:start w:val="1"/>
      <w:numFmt w:val="decimal"/>
      <w:lvlText w:val="%1."/>
      <w:lvlJc w:val="left"/>
      <w:pPr>
        <w:ind w:left="567" w:hanging="567"/>
      </w:pPr>
    </w:lvl>
  </w:abstractNum>
  <w:abstractNum w:abstractNumId="18" w15:restartNumberingAfterBreak="0">
    <w:multiLevelType w:val="hybridMultilevel"/>
    <w:lvl w:ilvl="0" w:tentative="1">
      <w:start w:val="1"/>
      <w:numFmt w:val="decimal"/>
      <w:lvlText w:val="%1."/>
      <w:lvlJc w:val="left"/>
      <w:pPr>
        <w:ind w:left="567" w:hanging="567"/>
      </w:pPr>
    </w:lvl>
  </w:abstractNum>
  <w:abstractNum w:abstractNumId="19" w15:restartNumberingAfterBreak="0">
    <w:multiLevelType w:val="hybridMultilevel"/>
    <w:lvl w:ilvl="0" w:tentative="1">
      <w:start w:val="1"/>
      <w:numFmt w:val="decimal"/>
      <w:lvlText w:val="%1."/>
      <w:lvlJc w:val="left"/>
      <w:pPr>
        <w:ind w:left="567" w:hanging="567"/>
      </w:pPr>
    </w:lvl>
  </w:abstractNum>
  <w:abstractNum w:abstractNumId="20" w15:restartNumberingAfterBreak="0">
    <w:multiLevelType w:val="hybridMultilevel"/>
    <w:lvl w:ilvl="0" w:tentative="1">
      <w:start w:val="1"/>
      <w:numFmt w:val="decimal"/>
      <w:lvlText w:val="%1."/>
      <w:lvlJc w:val="left"/>
      <w:pPr>
        <w:ind w:left="567" w:hanging="567"/>
      </w:pPr>
    </w:lvl>
  </w:abstractNum>
  <w:abstractNum w:abstractNumId="21" w15:restartNumberingAfterBreak="0">
    <w:multiLevelType w:val="hybridMultilevel"/>
    <w:lvl w:ilvl="0" w:tentative="1">
      <w:start w:val="1"/>
      <w:numFmt w:val="decimal"/>
      <w:lvlText w:val="%1."/>
      <w:lvlJc w:val="left"/>
      <w:pPr>
        <w:ind w:left="567" w:hanging="567"/>
      </w:pPr>
    </w:lvl>
  </w:abstractNum>
  <w:abstractNum w:abstractNumId="22" w15:restartNumberingAfterBreak="0">
    <w:multiLevelType w:val="hybridMultilevel"/>
    <w:lvl w:ilvl="0" w:tentative="1">
      <w:start w:val="1"/>
      <w:numFmt w:val="decimal"/>
      <w:lvlText w:val="%1."/>
      <w:lvlJc w:val="left"/>
      <w:pPr>
        <w:ind w:left="567" w:hanging="567"/>
      </w:pPr>
    </w:lvl>
  </w:abstractNum>
  <w:abstractNum w:abstractNumId="23" w15:restartNumberingAfterBreak="0">
    <w:multiLevelType w:val="hybridMultilevel"/>
    <w:lvl w:ilvl="0" w:tentative="1">
      <w:start w:val="1"/>
      <w:numFmt w:val="decimal"/>
      <w:lvlText w:val="%1."/>
      <w:lvlJc w:val="left"/>
      <w:pPr>
        <w:ind w:left="567" w:hanging="567"/>
      </w:pPr>
    </w:lvl>
  </w:abstractNum>
  <w:abstractNum w:abstractNumId="24" w15:restartNumberingAfterBreak="0">
    <w:multiLevelType w:val="hybridMultilevel"/>
    <w:lvl w:ilvl="0" w:tentative="1">
      <w:start w:val="1"/>
      <w:numFmt w:val="decimal"/>
      <w:lvlText w:val="%1."/>
      <w:lvlJc w:val="left"/>
      <w:pPr>
        <w:ind w:left="567" w:hanging="567"/>
      </w:pPr>
    </w:lvl>
  </w:abstractNum>
  <w:abstractNum w:abstractNumId="25" w15:restartNumberingAfterBreak="0">
    <w:multiLevelType w:val="hybridMultilevel"/>
    <w:lvl w:ilvl="0" w:tentative="1">
      <w:start w:val="1"/>
      <w:numFmt w:val="decimal"/>
      <w:lvlText w:val="%1."/>
      <w:lvlJc w:val="left"/>
      <w:pPr>
        <w:ind w:left="567" w:hanging="567"/>
      </w:pPr>
    </w:lvl>
  </w:abstractNum>
  <w:abstractNum w:abstractNumId="26" w15:restartNumberingAfterBreak="0">
    <w:multiLevelType w:val="hybridMultilevel"/>
    <w:lvl w:ilvl="0" w:tentative="1">
      <w:start w:val="1"/>
      <w:numFmt w:val="decimal"/>
      <w:lvlText w:val="%1."/>
      <w:lvlJc w:val="left"/>
      <w:pPr>
        <w:ind w:left="567" w:hanging="567"/>
      </w:pPr>
    </w:lvl>
  </w:abstractNum>
  <w:abstractNum w:abstractNumId="27" w15:restartNumberingAfterBreak="0">
    <w:multiLevelType w:val="hybridMultilevel"/>
    <w:lvl w:ilvl="0" w:tentative="1">
      <w:start w:val="1"/>
      <w:numFmt w:val="decimal"/>
      <w:lvlText w:val="%1."/>
      <w:lvlJc w:val="left"/>
      <w:pPr>
        <w:ind w:left="567" w:hanging="567"/>
      </w:pPr>
    </w:lvl>
  </w:abstractNum>
  <w:abstractNum w:abstractNumId="28" w15:restartNumberingAfterBreak="0">
    <w:multiLevelType w:val="hybridMultilevel"/>
    <w:lvl w:ilvl="0" w:tentative="1">
      <w:start w:val="1"/>
      <w:numFmt w:val="decimal"/>
      <w:lvlText w:val="%1."/>
      <w:lvlJc w:val="left"/>
      <w:pPr>
        <w:ind w:left="567" w:hanging="567"/>
      </w:pPr>
    </w:lvl>
  </w:abstractNum>
  <w:abstractNum w:abstractNumId="29" w15:restartNumberingAfterBreak="0">
    <w:multiLevelType w:val="hybridMultilevel"/>
    <w:lvl w:ilvl="0" w:tentative="1">
      <w:start w:val="1"/>
      <w:numFmt w:val="decimal"/>
      <w:lvlText w:val="%1."/>
      <w:lvlJc w:val="left"/>
      <w:pPr>
        <w:ind w:left="567" w:hanging="567"/>
      </w:pPr>
    </w:lvl>
  </w:abstractNum>
  <w:abstractNum w:abstractNumId="30" w15:restartNumberingAfterBreak="0">
    <w:multiLevelType w:val="hybridMultilevel"/>
    <w:lvl w:ilvl="0" w:tentative="1">
      <w:start w:val="1"/>
      <w:numFmt w:val="decimal"/>
      <w:lvlText w:val="%1."/>
      <w:lvlJc w:val="left"/>
      <w:pPr>
        <w:ind w:left="567" w:hanging="567"/>
      </w:pPr>
    </w:lvl>
  </w:abstractNum>
  <w:abstractNum w:abstractNumId="31" w15:restartNumberingAfterBreak="0">
    <w:multiLevelType w:val="hybridMultilevel"/>
    <w:lvl w:ilvl="0" w:tentative="1">
      <w:start w:val="1"/>
      <w:numFmt w:val="decimal"/>
      <w:lvlText w:val="%1."/>
      <w:lvlJc w:val="left"/>
      <w:pPr>
        <w:ind w:left="567" w:hanging="567"/>
      </w:pPr>
    </w:lvl>
  </w:abstractNum>
  <w:abstractNum w:abstractNumId="32" w15:restartNumberingAfterBreak="0">
    <w:multiLevelType w:val="hybridMultilevel"/>
    <w:lvl w:ilvl="0" w:tentative="1">
      <w:start w:val="1"/>
      <w:numFmt w:val="decimal"/>
      <w:lvlText w:val="%1."/>
      <w:lvlJc w:val="left"/>
      <w:pPr>
        <w:ind w:left="567" w:hanging="567"/>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6440317ff44b85a16a4a79bff0097bbde6d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Muster-KI-Richtlinie für Gemeinden</dc:title>
  <dc:creator>Silop – Silent Operations</dc:creator>
  <cp:lastModifiedBy>Un-named</cp:lastModifiedBy>
  <cp:revision>1</cp:revision>
  <dcterms:created xsi:type="dcterms:W3CDTF">2026-10-17T07:10:50.860Z</dcterms:created>
  <dcterms:modified xsi:type="dcterms:W3CDTF">2026-10-17T07:10:50.861Z</dcterms:modified>
</cp:coreProperties>
</file>

<file path=docProps/custom.xml><?xml version="1.0" encoding="utf-8"?>
<Properties xmlns="http://schemas.openxmlformats.org/officeDocument/2006/custom-properties" xmlns:vt="http://schemas.openxmlformats.org/officeDocument/2006/docPropsVTypes"/>
</file>