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40"/>
          <w:szCs w:val="40"/>
        </w:rPr>
        <w:t xml:space="preserve">Vertraulichkeitsvereinbarung</w:t>
      </w:r>
    </w:p>
    <w:p>
      <w:pPr>
        <w:spacing w:after="240"/>
      </w:pPr>
      <w:r>
        <w:rPr>
          <w:color w:val="5A6470"/>
          <w:sz w:val="22"/>
          <w:szCs w:val="22"/>
        </w:rPr>
        <w:t xml:space="preserve">Geheimhaltungsvereinbarung (NDA) für Gespräche und Zusammenarbeit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98B3" w:sz="18"/>
              <w:bottom w:val="none" w:color="FFFFFF" w:sz="0"/>
              <w:right w:val="none" w:color="FFFFFF" w:sz="0"/>
            </w:tcBorders>
            <w:shd w:fill="EAF6F9" w:color="auto" w:val="clear"/>
            <w:tcMar>
              <w:top w:type="dxa" w:w="120"/>
              <w:left w:type="dxa" w:w="200"/>
              <w:bottom w:type="dxa" w:w="120"/>
              <w:right w:type="dxa" w:w="200"/>
            </w:tcMar>
          </w:tcPr>
          <w:p>
            <w:pPr>
              <w:spacing w:after="60"/>
            </w:pPr>
            <w:r>
              <w:rPr>
                <w:b/>
                <w:bCs/>
                <w:sz w:val="18"/>
                <w:szCs w:val="18"/>
              </w:rPr>
              <w:t xml:space="preserve">Muster zur Orientierung</w:t>
            </w:r>
          </w:p>
          <w:p>
            <w:r>
              <w:rPr>
                <w:sz w:val="18"/>
                <w:szCs w:val="18"/>
              </w:rPr>
              <w:t xml:space="preserve">Diese Vorlage ist keine Rechtsberatung. Gelb markierte Stellen vor der Unterzeichnung ausfüllen, nicht Zutreffendes streichen. Auf Wunsch unterzeichnet Silop auch Ihre eigene Vereinbarung.</w:t>
            </w:r>
          </w:p>
        </w:tc>
      </w:tr>
    </w:tbl>
    <w:p>
      <w:pPr>
        <w:spacing w:after="120"/>
      </w:pPr>
      <w:r>
        <w:t xml:space="preserve"/>
      </w:r>
    </w:p>
    <w:p>
      <w:pPr>
        <w:spacing w:after="120" w:line="300"/>
      </w:pPr>
      <w:r>
        <w:t xml:space="preserve">abgeschlossen zwischen</w:t>
      </w:r>
    </w:p>
    <w:p>
      <w:pPr>
        <w:spacing w:after="40"/>
      </w:pPr>
      <w:r>
        <w:rPr>
          <w:b/>
          <w:bCs/>
        </w:rPr>
        <w:t xml:space="preserve">Silop e.U.</w:t>
      </w:r>
      <w:r>
        <w:t xml:space="preserve">, Inhaber Mario Amandus Aistleitner, BA MBA</w:t>
      </w:r>
    </w:p>
    <w:p>
      <w:pPr>
        <w:spacing w:after="40"/>
      </w:pPr>
      <w:r>
        <w:t xml:space="preserve">Marktgasse 7/26, 8720 Knittelfeld, FN 690458 f, Landesgericht Leoben, UID ATU83733113</w:t>
      </w:r>
    </w:p>
    <w:p>
      <w:pPr>
        <w:spacing w:after="200"/>
      </w:pPr>
      <w:r>
        <w:t xml:space="preserve">im Folgenden „Silop“</w:t>
      </w:r>
    </w:p>
    <w:p>
      <w:pPr>
        <w:spacing w:after="120" w:line="300"/>
      </w:pPr>
      <w:r>
        <w:t xml:space="preserve">und</w:t>
      </w:r>
    </w:p>
    <w:p>
      <w:pPr>
        <w:spacing w:after="40"/>
      </w:pPr>
      <w:r>
        <w:rPr>
          <w:highlight w:val="yellow"/>
        </w:rPr>
        <w:t xml:space="preserve">[Name bzw. Organisation]</w:t>
      </w:r>
    </w:p>
    <w:p>
      <w:pPr>
        <w:spacing w:after="40"/>
      </w:pPr>
      <w:r>
        <w:rPr>
          <w:highlight w:val="yellow"/>
        </w:rPr>
        <w:t xml:space="preserve">[Anschrift]</w:t>
      </w:r>
      <w:r>
        <w:t xml:space="preserve">, vertreten durch </w:t>
      </w:r>
      <w:r>
        <w:rPr>
          <w:highlight w:val="yellow"/>
        </w:rPr>
        <w:t xml:space="preserve">[Name, Funktion]</w:t>
      </w:r>
    </w:p>
    <w:p>
      <w:pPr>
        <w:spacing w:after="200"/>
      </w:pPr>
      <w:r>
        <w:t xml:space="preserve">im Folgenden „Auftraggeber“</w:t>
      </w:r>
    </w:p>
    <w:p>
      <w:pPr>
        <w:keepNext/>
        <w:spacing w:after="120" w:before="280"/>
      </w:pPr>
      <w:r>
        <w:rPr>
          <w:rFonts w:ascii="Arial" w:cs="Arial" w:eastAsia="Arial" w:hAnsi="Arial"/>
          <w:b/>
          <w:bCs/>
          <w:color w:val="0098B3"/>
          <w:sz w:val="24"/>
          <w:szCs w:val="24"/>
        </w:rPr>
        <w:t xml:space="preserve">Präambel</w:t>
      </w:r>
    </w:p>
    <w:p>
      <w:pPr>
        <w:spacing w:after="120" w:line="300"/>
      </w:pPr>
      <w:r>
        <w:t xml:space="preserve">Die Vertragsparteien führen Gespräche über eine mögliche Zusammenarbeit bzw. arbeiten zusammen im Bereich </w:t>
      </w:r>
      <w:r>
        <w:rPr>
          <w:highlight w:val="yellow"/>
        </w:rPr>
        <w:t xml:space="preserve">[Thema, z. B. Einsatz von Künstlicher Intelligenz in der Verwaltung]</w:t>
      </w:r>
      <w:r>
        <w:t xml:space="preserve"> (im Folgenden „Zweck“). Dabei erhält Silop Einblick in Informationen des Auftraggebers. Diese Vereinbarung stellt sicher, dass diese Informationen vertraulich bleiben.</w:t>
      </w:r>
    </w:p>
    <w:p>
      <w:pPr>
        <w:keepNext/>
        <w:spacing w:after="120" w:before="280"/>
      </w:pPr>
      <w:r>
        <w:rPr>
          <w:rFonts w:ascii="Arial" w:cs="Arial" w:eastAsia="Arial" w:hAnsi="Arial"/>
          <w:b/>
          <w:bCs/>
          <w:color w:val="0098B3"/>
          <w:sz w:val="24"/>
          <w:szCs w:val="24"/>
        </w:rPr>
        <w:t xml:space="preserve">1. Vertrauliche Informationen</w:t>
      </w:r>
    </w:p>
    <w:p>
      <w:pPr>
        <w:pStyle w:val="ListParagraph"/>
        <w:numPr>
          <w:ilvl w:val="0"/>
          <w:numId w:val="2"/>
        </w:numPr>
        <w:spacing w:after="80" w:line="300"/>
      </w:pPr>
      <w:r>
        <w:t xml:space="preserve">Vertrauliche Informationen sind alle Informationen, Unterlagen, Daten und Kenntnisse, die Silop vom Auftraggeber im Zusammenhang mit dem Zweck erhält, gleich ob mündlich, schriftlich, elektronisch oder durch Einsichtnahme, und unabhängig davon, ob sie als vertraulich gekennzeichnet sind.</w:t>
      </w:r>
    </w:p>
    <w:p>
      <w:pPr>
        <w:pStyle w:val="ListParagraph"/>
        <w:numPr>
          <w:ilvl w:val="0"/>
          <w:numId w:val="2"/>
        </w:numPr>
        <w:spacing w:after="80" w:line="300"/>
      </w:pPr>
      <w:r>
        <w:t xml:space="preserve">Vertraulich sind auch der Inhalt der Gespräche, deren Ergebnisse sowie die Tatsache, dass die Vertragsparteien miteinander sprechen oder zusammenarbeiten.</w:t>
      </w:r>
    </w:p>
    <w:p>
      <w:pPr>
        <w:pStyle w:val="ListParagraph"/>
        <w:numPr>
          <w:ilvl w:val="0"/>
          <w:numId w:val="2"/>
        </w:numPr>
        <w:spacing w:after="80" w:line="300"/>
      </w:pPr>
      <w:r>
        <w:t xml:space="preserve">Nicht vertraulich sind Informationen, die nachweislich</w:t>
      </w:r>
    </w:p>
    <w:p>
      <w:pPr>
        <w:pStyle w:val="ListParagraph"/>
        <w:numPr>
          <w:ilvl w:val="0"/>
          <w:numId w:val="3"/>
        </w:numPr>
        <w:spacing w:after="80" w:line="300"/>
      </w:pPr>
      <w:r>
        <w:t xml:space="preserve">zum Zeitpunkt der Weitergabe bereits öffentlich bekannt waren oder später ohne Verschulden von Silop öffentlich bekannt werden,</w:t>
      </w:r>
    </w:p>
    <w:p>
      <w:pPr>
        <w:pStyle w:val="ListParagraph"/>
        <w:numPr>
          <w:ilvl w:val="0"/>
          <w:numId w:val="3"/>
        </w:numPr>
        <w:spacing w:after="80" w:line="300"/>
      </w:pPr>
      <w:r>
        <w:t xml:space="preserve">Silop bereits vorher rechtmäßig bekannt waren,</w:t>
      </w:r>
    </w:p>
    <w:p>
      <w:pPr>
        <w:pStyle w:val="ListParagraph"/>
        <w:numPr>
          <w:ilvl w:val="0"/>
          <w:numId w:val="3"/>
        </w:numPr>
        <w:spacing w:after="80" w:line="300"/>
      </w:pPr>
      <w:r>
        <w:t xml:space="preserve">Silop von einem Dritten rechtmäßig und ohne Geheimhaltungspflicht erhalten hat, oder</w:t>
      </w:r>
    </w:p>
    <w:p>
      <w:pPr>
        <w:pStyle w:val="ListParagraph"/>
        <w:numPr>
          <w:ilvl w:val="0"/>
          <w:numId w:val="3"/>
        </w:numPr>
        <w:spacing w:after="80" w:line="300"/>
      </w:pPr>
      <w:r>
        <w:t xml:space="preserve">aufgrund gesetzlicher Pflicht oder behördlicher bzw. gerichtlicher Anordnung offengelegt werden müssen. In diesem Fall informiert Silop den Auftraggeber, soweit zulässig, vorab und legt nur das Nötige offen.</w:t>
      </w:r>
    </w:p>
    <w:p>
      <w:pPr>
        <w:keepNext/>
        <w:spacing w:after="120" w:before="280"/>
      </w:pPr>
      <w:r>
        <w:rPr>
          <w:rFonts w:ascii="Arial" w:cs="Arial" w:eastAsia="Arial" w:hAnsi="Arial"/>
          <w:b/>
          <w:bCs/>
          <w:color w:val="0098B3"/>
          <w:sz w:val="24"/>
          <w:szCs w:val="24"/>
        </w:rPr>
        <w:t xml:space="preserve">2. Pflichten von Silop</w:t>
      </w:r>
    </w:p>
    <w:p>
      <w:pPr>
        <w:pStyle w:val="ListParagraph"/>
        <w:numPr>
          <w:ilvl w:val="0"/>
          <w:numId w:val="4"/>
        </w:numPr>
        <w:spacing w:after="80" w:line="300"/>
      </w:pPr>
      <w:r>
        <w:t xml:space="preserve">Silop hält die vertraulichen Informationen geheim und verwendet sie ausschließlich für den Zweck.</w:t>
      </w:r>
    </w:p>
    <w:p>
      <w:pPr>
        <w:pStyle w:val="ListParagraph"/>
        <w:numPr>
          <w:ilvl w:val="0"/>
          <w:numId w:val="4"/>
        </w:numPr>
        <w:spacing w:after="80" w:line="300"/>
      </w:pPr>
      <w:r>
        <w:t xml:space="preserve">Silop gibt vertrauliche Informationen nicht an Dritte weiter. Zugriff hat ausschließlich Mario Amandus Aistleitner.</w:t>
      </w:r>
    </w:p>
    <w:p>
      <w:pPr>
        <w:pStyle w:val="ListParagraph"/>
        <w:numPr>
          <w:ilvl w:val="0"/>
          <w:numId w:val="4"/>
        </w:numPr>
        <w:spacing w:after="80" w:line="300"/>
      </w:pPr>
      <w:r>
        <w:t xml:space="preserve">Zieht Silop mit vorheriger schriftlicher Zustimmung des Auftraggebers Fachleute bei, verpflichtet Silop diese vorab schriftlich in gleichem Umfang zur Vertraulichkeit und haftet für deren Einhaltung.</w:t>
      </w:r>
    </w:p>
    <w:p>
      <w:pPr>
        <w:pStyle w:val="ListParagraph"/>
        <w:numPr>
          <w:ilvl w:val="0"/>
          <w:numId w:val="4"/>
        </w:numPr>
        <w:spacing w:after="80" w:line="300"/>
      </w:pPr>
      <w:r>
        <w:t xml:space="preserve">Silop schützt die vertraulichen Informationen durch angemessene technische und organisatorische Maßnahmen nach dem Stand der Technik, insbesondere durch verschlüsselte Speicherung und Übertragung sowie Zugangsschutz.</w:t>
      </w:r>
    </w:p>
    <w:p>
      <w:pPr>
        <w:pStyle w:val="ListParagraph"/>
        <w:numPr>
          <w:ilvl w:val="0"/>
          <w:numId w:val="4"/>
        </w:numPr>
        <w:spacing w:after="80" w:line="300"/>
      </w:pPr>
      <w:r>
        <w:t xml:space="preserve">Vertrauliche Informationen werden nicht zur Akquise, für andere Kunden oder für eigene Veröffentlichungen verwendet. Eine Nennung des Auftraggebers als Referenz erfolgt nur mit dessen ausdrücklicher schriftlicher Zustimmung.</w:t>
      </w:r>
    </w:p>
    <w:p>
      <w:pPr>
        <w:keepNext/>
        <w:spacing w:after="120" w:before="280"/>
      </w:pPr>
      <w:r>
        <w:rPr>
          <w:rFonts w:ascii="Arial" w:cs="Arial" w:eastAsia="Arial" w:hAnsi="Arial"/>
          <w:b/>
          <w:bCs/>
          <w:color w:val="0098B3"/>
          <w:sz w:val="24"/>
          <w:szCs w:val="24"/>
        </w:rPr>
        <w:t xml:space="preserve">3. Einsatz von KI-Systemen</w:t>
      </w:r>
    </w:p>
    <w:p>
      <w:pPr>
        <w:spacing w:after="120" w:line="300"/>
      </w:pPr>
      <w:r>
        <w:t xml:space="preserve">Vertrauliche Informationen werden in KI-Systeme nur eingegeben, wenn</w:t>
      </w:r>
    </w:p>
    <w:p>
      <w:pPr>
        <w:pStyle w:val="ListParagraph"/>
        <w:numPr>
          <w:ilvl w:val="0"/>
          <w:numId w:val="5"/>
        </w:numPr>
        <w:spacing w:after="80" w:line="300"/>
      </w:pPr>
      <w:r>
        <w:t xml:space="preserve">der Anbieter die Eingaben nicht zum Training eigener Modelle verwendet,</w:t>
      </w:r>
    </w:p>
    <w:p>
      <w:pPr>
        <w:pStyle w:val="ListParagraph"/>
        <w:numPr>
          <w:ilvl w:val="0"/>
          <w:numId w:val="5"/>
        </w:numPr>
        <w:spacing w:after="80" w:line="300"/>
      </w:pPr>
      <w:r>
        <w:t xml:space="preserve">die Verarbeitung in der EU bzw. im EWR oder lokal auf Systemen von Silop oder des Auftraggebers erfolgt, und</w:t>
      </w:r>
    </w:p>
    <w:p>
      <w:pPr>
        <w:pStyle w:val="ListParagraph"/>
        <w:numPr>
          <w:ilvl w:val="0"/>
          <w:numId w:val="5"/>
        </w:numPr>
        <w:spacing w:after="80" w:line="300"/>
      </w:pPr>
      <w:r>
        <w:t xml:space="preserve">der Auftraggeber dem Einsatz des konkreten Systems zugestimmt hat.</w:t>
      </w:r>
    </w:p>
    <w:p>
      <w:pPr>
        <w:spacing w:after="120" w:before="80" w:line="300"/>
      </w:pPr>
      <w:r>
        <w:t xml:space="preserve">Auf Wunsch des Auftraggebers verzichtet Silop vollständig auf den Einsatz externer KI-Dienste für seine Informationen.</w:t>
      </w:r>
    </w:p>
    <w:p>
      <w:pPr>
        <w:keepNext/>
        <w:spacing w:after="120" w:before="280"/>
      </w:pPr>
      <w:r>
        <w:rPr>
          <w:rFonts w:ascii="Arial" w:cs="Arial" w:eastAsia="Arial" w:hAnsi="Arial"/>
          <w:b/>
          <w:bCs/>
          <w:color w:val="0098B3"/>
          <w:sz w:val="24"/>
          <w:szCs w:val="24"/>
        </w:rPr>
        <w:t xml:space="preserve">4. Datenschutz</w:t>
      </w:r>
    </w:p>
    <w:p>
      <w:pPr>
        <w:spacing w:after="120" w:line="300"/>
      </w:pPr>
      <w:r>
        <w:t xml:space="preserve">Enthalten die Informationen personenbezogene Daten, beachtet Silop die Datenschutz-Grundverordnung (DSGVO) und das Datenschutzgesetz (DSG). Verarbeitet Silop personenbezogene Daten im Auftrag, schließen die Vertragsparteien vor Beginn einen Auftragsverarbeitungsvertrag nach Art. 28 DSGVO ab.</w:t>
      </w:r>
    </w:p>
    <w:p>
      <w:pPr>
        <w:keepNext/>
        <w:spacing w:after="120" w:before="280"/>
      </w:pPr>
      <w:r>
        <w:rPr>
          <w:rFonts w:ascii="Arial" w:cs="Arial" w:eastAsia="Arial" w:hAnsi="Arial"/>
          <w:b/>
          <w:bCs/>
          <w:color w:val="0098B3"/>
          <w:sz w:val="24"/>
          <w:szCs w:val="24"/>
        </w:rPr>
        <w:t xml:space="preserve">5. Rückgabe und Löschung</w:t>
      </w:r>
    </w:p>
    <w:p>
      <w:pPr>
        <w:spacing w:after="120" w:line="300"/>
      </w:pPr>
      <w:r>
        <w:t xml:space="preserve">Auf Verlangen des Auftraggebers, spätestens mit Ende der Gespräche bzw. der Zusammenarbeit, gibt Silop alle vertraulichen Informationen samt Kopien zurück oder löscht sie dauerhaft, nach Wahl des Auftraggebers. Silop bestätigt die Löschung schriftlich. Ausgenommen sind Unterlagen, die Silop aufgrund gesetzlicher Aufbewahrungspflichten aufbewahren muss. Für diese gilt die Vertraulichkeit unverändert weiter.</w:t>
      </w:r>
    </w:p>
    <w:p>
      <w:pPr>
        <w:keepNext/>
        <w:spacing w:after="120" w:before="280"/>
      </w:pPr>
      <w:r>
        <w:rPr>
          <w:rFonts w:ascii="Arial" w:cs="Arial" w:eastAsia="Arial" w:hAnsi="Arial"/>
          <w:b/>
          <w:bCs/>
          <w:color w:val="0098B3"/>
          <w:sz w:val="24"/>
          <w:szCs w:val="24"/>
        </w:rPr>
        <w:t xml:space="preserve">6. Dauer</w:t>
      </w:r>
    </w:p>
    <w:p>
      <w:pPr>
        <w:spacing w:after="120" w:line="300"/>
      </w:pPr>
      <w:r>
        <w:t xml:space="preserve">Diese Vereinbarung gilt ab Unterzeichnung. Die Pflichten zur Vertraulichkeit gelten über das Ende der Gespräche bzw. der Zusammenarbeit hinaus </w:t>
      </w:r>
      <w:r>
        <w:rPr>
          <w:highlight w:val="yellow"/>
        </w:rPr>
        <w:t xml:space="preserve">[unbefristet] / [für … Jahre]</w:t>
      </w:r>
      <w:r>
        <w:t xml:space="preserve">.</w:t>
      </w:r>
    </w:p>
    <w:p>
      <w:pPr>
        <w:keepNext/>
        <w:spacing w:after="120" w:before="280"/>
      </w:pPr>
      <w:r>
        <w:rPr>
          <w:rFonts w:ascii="Arial" w:cs="Arial" w:eastAsia="Arial" w:hAnsi="Arial"/>
          <w:b/>
          <w:bCs/>
          <w:color w:val="0098B3"/>
          <w:sz w:val="24"/>
          <w:szCs w:val="24"/>
        </w:rPr>
        <w:t xml:space="preserve">7. Vertragsstrafe (optional)</w:t>
      </w:r>
    </w:p>
    <w:p>
      <w:pPr>
        <w:spacing w:after="120" w:line="300"/>
      </w:pPr>
      <w:r>
        <w:t xml:space="preserve">Für jeden schuldhaften Verstoß gegen diese Vereinbarung zahlt Silop dem Auftraggeber eine Vertragsstrafe von </w:t>
      </w:r>
      <w:r>
        <w:rPr>
          <w:highlight w:val="yellow"/>
        </w:rPr>
        <w:t xml:space="preserve">EUR [Betrag]</w:t>
      </w:r>
      <w:r>
        <w:t xml:space="preserve">. Der Anspruch auf Ersatz eines darüber hinausgehenden Schadens bleibt unberührt. </w:t>
      </w:r>
      <w:r>
        <w:rPr>
          <w:highlight w:val="yellow"/>
        </w:rPr>
        <w:t xml:space="preserve">[Bei Nichtvereinbarung diesen Punkt streichen.]</w:t>
      </w:r>
    </w:p>
    <w:p>
      <w:pPr>
        <w:keepNext/>
        <w:spacing w:after="120" w:before="280"/>
      </w:pPr>
      <w:r>
        <w:rPr>
          <w:rFonts w:ascii="Arial" w:cs="Arial" w:eastAsia="Arial" w:hAnsi="Arial"/>
          <w:b/>
          <w:bCs/>
          <w:color w:val="0098B3"/>
          <w:sz w:val="24"/>
          <w:szCs w:val="24"/>
        </w:rPr>
        <w:t xml:space="preserve">8. Keine weiteren Verpflichtungen</w:t>
      </w:r>
    </w:p>
    <w:p>
      <w:pPr>
        <w:spacing w:after="120" w:line="300"/>
      </w:pPr>
      <w:r>
        <w:t xml:space="preserve">Diese Vereinbarung verpflichtet den Auftraggeber nicht zur Erteilung eines Auftrags. Durch die Weitergabe von Informationen werden keine Rechte daran an Silop übertragen.</w:t>
      </w:r>
    </w:p>
    <w:p>
      <w:pPr>
        <w:keepNext/>
        <w:spacing w:after="120" w:before="280"/>
      </w:pPr>
      <w:r>
        <w:rPr>
          <w:rFonts w:ascii="Arial" w:cs="Arial" w:eastAsia="Arial" w:hAnsi="Arial"/>
          <w:b/>
          <w:bCs/>
          <w:color w:val="0098B3"/>
          <w:sz w:val="24"/>
          <w:szCs w:val="24"/>
        </w:rPr>
        <w:t xml:space="preserve">9. Schlussbestimmungen</w:t>
      </w:r>
    </w:p>
    <w:p>
      <w:pPr>
        <w:pStyle w:val="ListParagraph"/>
        <w:numPr>
          <w:ilvl w:val="0"/>
          <w:numId w:val="6"/>
        </w:numPr>
        <w:spacing w:after="80" w:line="300"/>
      </w:pPr>
      <w:r>
        <w:t xml:space="preserve">Es gilt österreichisches Recht unter Ausschluss der Verweisungsnormen des internationalen Privatrechts.</w:t>
      </w:r>
    </w:p>
    <w:p>
      <w:pPr>
        <w:pStyle w:val="ListParagraph"/>
        <w:numPr>
          <w:ilvl w:val="0"/>
          <w:numId w:val="6"/>
        </w:numPr>
        <w:spacing w:after="80" w:line="300"/>
      </w:pPr>
      <w:r>
        <w:t xml:space="preserve">Gerichtsstand für Streitigkeiten mit Unternehmern ist das für Knittelfeld sachlich und örtlich zuständige Gericht. Für Verbraucher gelten die gesetzlichen Gerichtsstände.</w:t>
      </w:r>
    </w:p>
    <w:p>
      <w:pPr>
        <w:pStyle w:val="ListParagraph"/>
        <w:numPr>
          <w:ilvl w:val="0"/>
          <w:numId w:val="6"/>
        </w:numPr>
        <w:spacing w:after="80" w:line="300"/>
      </w:pPr>
      <w:r>
        <w:t xml:space="preserve">Änderungen und Ergänzungen bedürfen der Schriftform. Das gilt auch für das Abgehen von diesem Formerfordernis.</w:t>
      </w:r>
    </w:p>
    <w:p>
      <w:pPr>
        <w:pStyle w:val="ListParagraph"/>
        <w:numPr>
          <w:ilvl w:val="0"/>
          <w:numId w:val="6"/>
        </w:numPr>
        <w:spacing w:after="80" w:line="300"/>
      </w:pPr>
      <w:r>
        <w:t xml:space="preserve">Sollte eine Bestimmung unwirksam sein, bleiben die übrigen Bestimmungen wirksam. An die Stelle der unwirksamen Bestimmung tritt eine wirksame, die ihrem Zweck am nächsten kommt.</w:t>
      </w:r>
    </w:p>
    <w:p>
      <w:pPr>
        <w:pStyle w:val="ListParagraph"/>
        <w:numPr>
          <w:ilvl w:val="0"/>
          <w:numId w:val="6"/>
        </w:numPr>
        <w:spacing w:after="80" w:line="300"/>
      </w:pPr>
      <w:r>
        <w:t xml:space="preserve">Diese Vereinbarung wird in zwei Ausfertigungen unterzeichnet. Jede Vertragspartei erhält eine. Eine Unterzeichnung mit qualifizierter elektronischer Signatur (z. B. ID Austria) ist gleichwertig.</w:t>
      </w:r>
    </w:p>
    <w:p>
      <w:pPr>
        <w:spacing w:before="3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cantSplit/>
        </w:trPr>
        <w:tc>
          <w:tcPr>
            <w:tcW w:type="dxa" w:w="4513"/>
            <w:tcBorders>
              <w:top w:val="none" w:color="FFFFFF" w:sz="0"/>
              <w:left w:val="none" w:color="FFFFFF" w:sz="0"/>
              <w:bottom w:val="none" w:color="FFFFFF" w:sz="0"/>
              <w:right w:val="none" w:color="FFFFFF" w:sz="0"/>
            </w:tcBorders>
            <w:tcMar>
              <w:right w:type="dxa" w:w="280"/>
            </w:tcMar>
          </w:tcPr>
          <w:p>
            <w:pPr>
              <w:spacing w:before="200"/>
            </w:pPr>
          </w:p>
        </w:tc>
        <w:tc>
          <w:tcPr>
            <w:tcW w:type="dxa" w:w="4513"/>
            <w:tcBorders>
              <w:top w:val="none" w:color="FFFFFF" w:sz="0"/>
              <w:left w:val="none" w:color="FFFFFF" w:sz="0"/>
              <w:bottom w:val="none" w:color="FFFFFF" w:sz="0"/>
              <w:right w:val="none" w:color="FFFFFF" w:sz="0"/>
            </w:tcBorders>
            <w:tcMar>
              <w:right w:type="dxa" w:w="280"/>
            </w:tcMar>
          </w:tcPr>
          <w:p>
            <w:pPr>
              <w:spacing w:before="200"/>
            </w:pPr>
          </w:p>
        </w:tc>
      </w:tr>
      <w:tr>
        <w:trPr>
          <w:cantSplit/>
        </w:trPr>
        <w:tc>
          <w:tcPr>
            <w:tcW w:type="dxa" w:w="4513"/>
            <w:tcBorders>
              <w:top w:val="single" w:color="333333" w:sz="6"/>
              <w:left w:val="none" w:color="FFFFFF" w:sz="0"/>
              <w:bottom w:val="none" w:color="FFFFFF" w:sz="0"/>
              <w:right w:val="none" w:color="FFFFFF" w:sz="0"/>
            </w:tcBorders>
            <w:tcMar>
              <w:top w:type="dxa" w:w="60"/>
              <w:left w:type="dxa" w:w="0"/>
              <w:bottom w:type="dxa" w:w="60"/>
              <w:right w:type="dxa" w:w="280"/>
            </w:tcMar>
          </w:tcPr>
          <w:p>
            <w:pPr>
              <w:spacing w:after="40"/>
            </w:pPr>
            <w:r>
              <w:rPr>
                <w:color w:val="5A6470"/>
                <w:sz w:val="18"/>
                <w:szCs w:val="18"/>
              </w:rPr>
              <w:t xml:space="preserve">Ort, Datum</w:t>
            </w:r>
          </w:p>
        </w:tc>
        <w:tc>
          <w:tcPr>
            <w:tcW w:type="dxa" w:w="4513"/>
            <w:tcBorders>
              <w:top w:val="single" w:color="333333" w:sz="6"/>
              <w:left w:val="none" w:color="FFFFFF" w:sz="0"/>
              <w:bottom w:val="none" w:color="FFFFFF" w:sz="0"/>
              <w:right w:val="none" w:color="FFFFFF" w:sz="0"/>
            </w:tcBorders>
            <w:tcMar>
              <w:top w:type="dxa" w:w="60"/>
              <w:left w:type="dxa" w:w="0"/>
              <w:bottom w:type="dxa" w:w="60"/>
              <w:right w:type="dxa" w:w="280"/>
            </w:tcMar>
          </w:tcPr>
          <w:p>
            <w:pPr>
              <w:spacing w:after="40"/>
            </w:pPr>
            <w:r>
              <w:rPr>
                <w:color w:val="5A6470"/>
                <w:sz w:val="18"/>
                <w:szCs w:val="18"/>
              </w:rPr>
              <w:t xml:space="preserve">Ort, Datum</w:t>
            </w:r>
          </w:p>
        </w:tc>
      </w:tr>
      <w:tr>
        <w:trPr>
          <w:cantSplit/>
        </w:trPr>
        <w:tc>
          <w:tcPr>
            <w:tcW w:type="dxa" w:w="4513"/>
            <w:tcBorders>
              <w:top w:val="none" w:color="FFFFFF" w:sz="0"/>
              <w:left w:val="none" w:color="FFFFFF" w:sz="0"/>
              <w:bottom w:val="none" w:color="FFFFFF" w:sz="0"/>
              <w:right w:val="none" w:color="FFFFFF" w:sz="0"/>
            </w:tcBorders>
            <w:tcMar>
              <w:right w:type="dxa" w:w="280"/>
            </w:tcMar>
          </w:tcPr>
          <w:p>
            <w:pPr>
              <w:spacing w:before="700"/>
            </w:pPr>
          </w:p>
        </w:tc>
        <w:tc>
          <w:tcPr>
            <w:tcW w:type="dxa" w:w="4513"/>
            <w:tcBorders>
              <w:top w:val="none" w:color="FFFFFF" w:sz="0"/>
              <w:left w:val="none" w:color="FFFFFF" w:sz="0"/>
              <w:bottom w:val="none" w:color="FFFFFF" w:sz="0"/>
              <w:right w:val="none" w:color="FFFFFF" w:sz="0"/>
            </w:tcBorders>
            <w:tcMar>
              <w:right w:type="dxa" w:w="280"/>
            </w:tcMar>
          </w:tcPr>
          <w:p>
            <w:pPr>
              <w:spacing w:before="700"/>
            </w:pPr>
          </w:p>
        </w:tc>
      </w:tr>
      <w:tr>
        <w:trPr>
          <w:cantSplit/>
        </w:trPr>
        <w:tc>
          <w:tcPr>
            <w:tcW w:type="dxa" w:w="4513"/>
            <w:tcBorders>
              <w:top w:val="single" w:color="333333" w:sz="6"/>
              <w:left w:val="none" w:color="FFFFFF" w:sz="0"/>
              <w:bottom w:val="none" w:color="FFFFFF" w:sz="0"/>
              <w:right w:val="none" w:color="FFFFFF" w:sz="0"/>
            </w:tcBorders>
            <w:tcMar>
              <w:top w:type="dxa" w:w="60"/>
              <w:left w:type="dxa" w:w="0"/>
              <w:bottom w:type="dxa" w:w="60"/>
              <w:right w:type="dxa" w:w="280"/>
            </w:tcMar>
          </w:tcPr>
          <w:p>
            <w:pPr>
              <w:spacing w:after="40"/>
            </w:pPr>
            <w:r>
              <w:rPr>
                <w:color w:val="5A6470"/>
                <w:sz w:val="18"/>
                <w:szCs w:val="18"/>
              </w:rPr>
              <w:t xml:space="preserve">Silop – Silent Operations</w:t>
            </w:r>
          </w:p>
          <w:p>
            <w:pPr>
              <w:spacing w:after="40"/>
            </w:pPr>
            <w:r>
              <w:rPr>
                <w:color w:val="5A6470"/>
                <w:sz w:val="18"/>
                <w:szCs w:val="18"/>
              </w:rPr>
              <w:t xml:space="preserve">Mario Amandus Aistleitner, BA MBA</w:t>
            </w:r>
          </w:p>
        </w:tc>
        <w:tc>
          <w:tcPr>
            <w:tcW w:type="dxa" w:w="4513"/>
            <w:tcBorders>
              <w:top w:val="single" w:color="333333" w:sz="6"/>
              <w:left w:val="none" w:color="FFFFFF" w:sz="0"/>
              <w:bottom w:val="none" w:color="FFFFFF" w:sz="0"/>
              <w:right w:val="none" w:color="FFFFFF" w:sz="0"/>
            </w:tcBorders>
            <w:tcMar>
              <w:top w:type="dxa" w:w="60"/>
              <w:left w:type="dxa" w:w="0"/>
              <w:bottom w:type="dxa" w:w="60"/>
              <w:right w:type="dxa" w:w="280"/>
            </w:tcMar>
          </w:tcPr>
          <w:p>
            <w:pPr>
              <w:spacing w:after="40"/>
            </w:pPr>
            <w:r>
              <w:rPr>
                <w:color w:val="5A6470"/>
                <w:sz w:val="18"/>
                <w:szCs w:val="18"/>
              </w:rPr>
              <w:t xml:space="preserve">Auftraggeber</w:t>
            </w:r>
          </w:p>
          <w:p>
            <w:pPr>
              <w:spacing w:after="40"/>
            </w:pPr>
            <w:r>
              <w:rPr>
                <w:color w:val="5A6470"/>
                <w:sz w:val="18"/>
                <w:szCs w:val="18"/>
              </w:rPr>
              <w:t xml:space="preserve">Name, Funktion</w:t>
            </w:r>
          </w:p>
        </w:tc>
      </w:tr>
    </w:tbl>
    <w:sectPr>
      <w:headerReference w:type="default" r:id="rId6"/>
      <w:footerReference w:type="default" r:id="rId7"/>
      <w:pgSz w:w="11906" w:h="16838" w:orient="portrait"/>
      <w:pgMar w:top="1900" w:right="1440" w:bottom="1300" w:left="1440" w:header="600"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5A6470"/>
        <w:sz w:val="16"/>
        <w:szCs w:val="16"/>
      </w:rPr>
      <w:t xml:space="preserve">Silop e.U.  |  Vertraulichkeitsvereinbarung, Muster Stand Oktober 2026</w:t>
    </w:r>
    <w:r>
      <w:rPr>
        <w:color w:val="5A6470"/>
        <w:sz w:val="16"/>
        <w:szCs w:val="16"/>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1239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5524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26" w:hanging="426"/>
      </w:pPr>
    </w:lvl>
  </w:abstractNum>
  <w:abstractNum w:abstractNumId="3" w15:restartNumberingAfterBreak="0">
    <w:multiLevelType w:val="hybridMultilevel"/>
    <w:lvl w:ilvl="0" w:tentative="1">
      <w:start w:val="1"/>
      <w:numFmt w:val="decimal"/>
      <w:lvlText w:val="%1."/>
      <w:lvlJc w:val="left"/>
      <w:pPr>
        <w:ind w:left="426" w:hanging="426"/>
      </w:pPr>
    </w:lvl>
  </w:abstractNum>
  <w:abstractNum w:abstractNumId="4" w15:restartNumberingAfterBreak="0">
    <w:multiLevelType w:val="hybridMultilevel"/>
    <w:lvl w:ilvl="0" w:tentative="1">
      <w:start w:val="1"/>
      <w:numFmt w:val="decimal"/>
      <w:lvlText w:val="%1."/>
      <w:lvlJc w:val="left"/>
      <w:pPr>
        <w:ind w:left="426" w:hanging="426"/>
      </w:pPr>
    </w:lvl>
  </w:abstractNum>
  <w:abstractNum w:abstractNumId="5" w15:restartNumberingAfterBreak="0">
    <w:multiLevelType w:val="hybridMultilevel"/>
    <w:lvl w:ilvl="0" w:tentative="1">
      <w:start w:val="1"/>
      <w:numFmt w:val="lowerLetter"/>
      <w:lvlText w:val="%1)"/>
      <w:lvlJc w:val="left"/>
      <w:pPr>
        <w:ind w:left="852" w:hanging="426"/>
      </w:pPr>
    </w:lvl>
  </w:abstractNum>
  <w:abstractNum w:abstractNumId="6" w15:restartNumberingAfterBreak="0">
    <w:multiLevelType w:val="hybridMultilevel"/>
    <w:lvl w:ilvl="0" w:tentative="1">
      <w:start w:val="1"/>
      <w:numFmt w:val="bullet"/>
      <w:lvlText w:val="–"/>
      <w:lvlJc w:val="left"/>
      <w:pPr>
        <w:ind w:left="852" w:hanging="426"/>
      </w:pPr>
    </w:lvl>
  </w:abstractNum>
  <w:num w:numId="1">
    <w:abstractNumId w:val="1"/>
    <w:lvlOverride w:ilvl="0">
      <w:startOverride w:val="1"/>
    </w:lvlOverride>
  </w:num>
  <w:num w:numId="2">
    <w:abstractNumId w:val="2"/>
    <w:lvlOverride w:ilvl="0">
      <w:startOverride w:val="1"/>
    </w:lvlOverride>
  </w:num>
  <w:num w:numId="3">
    <w:abstractNumId w:val="5"/>
    <w:lvlOverride w:ilvl="0">
      <w:startOverride w:val="1"/>
    </w:lvlOverride>
  </w:num>
  <w:num w:numId="4">
    <w:abstractNumId w:val="3"/>
    <w:lvlOverride w:ilvl="0">
      <w:startOverride w:val="1"/>
    </w:lvlOverride>
  </w:num>
  <w:num w:numId="5">
    <w:abstractNumId w:val="6"/>
    <w:lvlOverride w:ilvl="0">
      <w:startOverride w:val="1"/>
    </w:lvlOverride>
  </w:num>
  <w:num w:numId="6">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6440317ff44b85a16a4a79bff0097bbde6d8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Vertraulichkeitsvereinbarung (Muster)</dc:title>
  <dc:creator>Silop – Silent Operations</dc:creator>
  <cp:lastModifiedBy>Un-named</cp:lastModifiedBy>
  <cp:revision>1</cp:revision>
  <dcterms:created xsi:type="dcterms:W3CDTF">2026-10-24T07:48:50.255Z</dcterms:created>
  <dcterms:modified xsi:type="dcterms:W3CDTF">2026-10-24T07:48:50.260Z</dcterms:modified>
</cp:coreProperties>
</file>

<file path=docProps/custom.xml><?xml version="1.0" encoding="utf-8"?>
<Properties xmlns="http://schemas.openxmlformats.org/officeDocument/2006/custom-properties" xmlns:vt="http://schemas.openxmlformats.org/officeDocument/2006/docPropsVTypes"/>
</file>